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979DB" w14:textId="29F76B1F" w:rsidR="00327BC2" w:rsidRDefault="00327BC2" w:rsidP="000C5858">
      <w:pPr>
        <w:spacing w:after="240"/>
        <w:jc w:val="center"/>
        <w:rPr>
          <w:rFonts w:ascii="Times New Roman" w:hAnsi="Times New Roman" w:cs="Times New Roman"/>
          <w:b/>
          <w:sz w:val="24"/>
          <w:szCs w:val="24"/>
        </w:rPr>
      </w:pPr>
      <w:r>
        <w:rPr>
          <w:rFonts w:ascii="Times New Roman" w:hAnsi="Times New Roman" w:cs="Times New Roman"/>
          <w:b/>
          <w:sz w:val="24"/>
          <w:szCs w:val="24"/>
        </w:rPr>
        <w:t>İZMİR YÜKSEK TEKNOLOJİ ENSTİTÜSÜ</w:t>
      </w:r>
    </w:p>
    <w:p w14:paraId="39B86233" w14:textId="2212FF11" w:rsidR="00327BC2" w:rsidRDefault="00025EC1" w:rsidP="000C5858">
      <w:pPr>
        <w:spacing w:after="240"/>
        <w:jc w:val="center"/>
        <w:rPr>
          <w:rFonts w:ascii="Times New Roman" w:hAnsi="Times New Roman" w:cs="Times New Roman"/>
          <w:b/>
          <w:sz w:val="24"/>
          <w:szCs w:val="24"/>
        </w:rPr>
      </w:pPr>
      <w:r w:rsidRPr="00327BC2">
        <w:rPr>
          <w:rFonts w:ascii="Times New Roman" w:hAnsi="Times New Roman" w:cs="Times New Roman"/>
          <w:b/>
          <w:sz w:val="24"/>
          <w:szCs w:val="24"/>
        </w:rPr>
        <w:t>ARAŞTIRMA VE GELİŞTİRME</w:t>
      </w:r>
      <w:r w:rsidR="00327BC2">
        <w:rPr>
          <w:rFonts w:ascii="Times New Roman" w:hAnsi="Times New Roman" w:cs="Times New Roman"/>
          <w:b/>
          <w:sz w:val="24"/>
          <w:szCs w:val="24"/>
        </w:rPr>
        <w:t xml:space="preserve"> EKSENİ DEĞERLENDİRME RAPORU</w:t>
      </w:r>
    </w:p>
    <w:p w14:paraId="2574153F" w14:textId="77777777" w:rsidR="000C5858" w:rsidRDefault="000C5858" w:rsidP="000C5858">
      <w:pPr>
        <w:spacing w:after="240"/>
        <w:rPr>
          <w:rFonts w:ascii="Times New Roman" w:hAnsi="Times New Roman" w:cs="Times New Roman"/>
          <w:b/>
          <w:sz w:val="24"/>
          <w:szCs w:val="24"/>
        </w:rPr>
      </w:pPr>
      <w:r>
        <w:rPr>
          <w:rFonts w:ascii="Times New Roman" w:hAnsi="Times New Roman" w:cs="Times New Roman"/>
          <w:b/>
          <w:sz w:val="24"/>
          <w:szCs w:val="24"/>
        </w:rPr>
        <w:t xml:space="preserve">Rapor Yılı: </w:t>
      </w:r>
      <w:proofErr w:type="gramStart"/>
      <w:r w:rsidRPr="000C5858">
        <w:rPr>
          <w:rFonts w:ascii="Times New Roman" w:hAnsi="Times New Roman" w:cs="Times New Roman"/>
          <w:b/>
          <w:sz w:val="24"/>
          <w:szCs w:val="24"/>
          <w:highlight w:val="yellow"/>
        </w:rPr>
        <w:t>..........</w:t>
      </w:r>
      <w:proofErr w:type="gramEnd"/>
    </w:p>
    <w:p w14:paraId="5D9A0242" w14:textId="1B55D0E6" w:rsidR="00327BC2" w:rsidRPr="00327BC2" w:rsidRDefault="00327BC2" w:rsidP="00327BC2">
      <w:pPr>
        <w:widowControl w:val="0"/>
        <w:pBdr>
          <w:top w:val="nil"/>
          <w:left w:val="nil"/>
          <w:bottom w:val="nil"/>
          <w:right w:val="nil"/>
          <w:between w:val="nil"/>
        </w:pBdr>
        <w:spacing w:after="240" w:line="240" w:lineRule="auto"/>
        <w:rPr>
          <w:rFonts w:ascii="Times New Roman" w:hAnsi="Times New Roman" w:cs="Times New Roman"/>
          <w:b/>
          <w:sz w:val="24"/>
          <w:szCs w:val="24"/>
        </w:rPr>
      </w:pPr>
      <w:r w:rsidRPr="00327BC2">
        <w:rPr>
          <w:rFonts w:ascii="Times New Roman" w:hAnsi="Times New Roman" w:cs="Times New Roman"/>
          <w:b/>
          <w:sz w:val="24"/>
          <w:szCs w:val="24"/>
        </w:rPr>
        <w:t>C.1. Araştırma Süreçlerinin Yönetimi ve Araştırma Kaynakları</w:t>
      </w:r>
    </w:p>
    <w:tbl>
      <w:tblPr>
        <w:tblW w:w="9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59"/>
        <w:gridCol w:w="2005"/>
        <w:gridCol w:w="284"/>
        <w:gridCol w:w="6525"/>
      </w:tblGrid>
      <w:tr w:rsidR="00223D91" w:rsidRPr="00327BC2" w14:paraId="61AB0077" w14:textId="77777777" w:rsidTr="00327BC2">
        <w:tc>
          <w:tcPr>
            <w:tcW w:w="959" w:type="dxa"/>
            <w:tcBorders>
              <w:top w:val="nil"/>
              <w:left w:val="nil"/>
              <w:bottom w:val="nil"/>
              <w:right w:val="nil"/>
            </w:tcBorders>
            <w:shd w:val="clear" w:color="auto" w:fill="auto"/>
            <w:tcMar>
              <w:top w:w="100" w:type="dxa"/>
              <w:left w:w="100" w:type="dxa"/>
              <w:bottom w:w="100" w:type="dxa"/>
              <w:right w:w="100" w:type="dxa"/>
            </w:tcMar>
          </w:tcPr>
          <w:p w14:paraId="5BDF2101" w14:textId="3BD2E20E" w:rsidR="00223D91" w:rsidRPr="00327BC2" w:rsidRDefault="00327BC2" w:rsidP="00327BC2">
            <w:pPr>
              <w:widowControl w:val="0"/>
              <w:pBdr>
                <w:top w:val="nil"/>
                <w:left w:val="nil"/>
                <w:bottom w:val="nil"/>
                <w:right w:val="nil"/>
                <w:between w:val="nil"/>
              </w:pBdr>
              <w:spacing w:line="240" w:lineRule="auto"/>
              <w:rPr>
                <w:rFonts w:ascii="Times New Roman" w:hAnsi="Times New Roman" w:cs="Times New Roman"/>
                <w:b/>
                <w:sz w:val="24"/>
                <w:szCs w:val="24"/>
              </w:rPr>
            </w:pPr>
            <w:r w:rsidRPr="00327BC2">
              <w:rPr>
                <w:rFonts w:ascii="Times New Roman" w:hAnsi="Times New Roman" w:cs="Times New Roman"/>
                <w:b/>
                <w:sz w:val="24"/>
                <w:szCs w:val="24"/>
              </w:rPr>
              <w:t>C</w:t>
            </w:r>
            <w:r w:rsidR="00223D91" w:rsidRPr="00327BC2">
              <w:rPr>
                <w:rFonts w:ascii="Times New Roman" w:hAnsi="Times New Roman" w:cs="Times New Roman"/>
                <w:b/>
                <w:sz w:val="24"/>
                <w:szCs w:val="24"/>
              </w:rPr>
              <w:t>.1.1.</w:t>
            </w:r>
          </w:p>
        </w:tc>
        <w:tc>
          <w:tcPr>
            <w:tcW w:w="8814" w:type="dxa"/>
            <w:gridSpan w:val="3"/>
            <w:tcBorders>
              <w:top w:val="nil"/>
              <w:left w:val="nil"/>
              <w:bottom w:val="nil"/>
              <w:right w:val="nil"/>
            </w:tcBorders>
            <w:shd w:val="clear" w:color="auto" w:fill="auto"/>
            <w:tcMar>
              <w:top w:w="100" w:type="dxa"/>
              <w:left w:w="100" w:type="dxa"/>
              <w:bottom w:w="100" w:type="dxa"/>
              <w:right w:w="100" w:type="dxa"/>
            </w:tcMar>
          </w:tcPr>
          <w:p w14:paraId="32C243AD" w14:textId="6EFEFC9B" w:rsidR="00223D91" w:rsidRPr="00327BC2" w:rsidRDefault="00223D91" w:rsidP="0041298C">
            <w:pPr>
              <w:widowControl w:val="0"/>
              <w:pBdr>
                <w:top w:val="nil"/>
                <w:left w:val="nil"/>
                <w:bottom w:val="nil"/>
                <w:right w:val="nil"/>
                <w:between w:val="nil"/>
              </w:pBdr>
              <w:spacing w:line="240" w:lineRule="auto"/>
              <w:rPr>
                <w:rFonts w:ascii="Times New Roman" w:hAnsi="Times New Roman" w:cs="Times New Roman"/>
                <w:b/>
                <w:sz w:val="24"/>
                <w:szCs w:val="24"/>
              </w:rPr>
            </w:pPr>
            <w:r w:rsidRPr="00327BC2">
              <w:rPr>
                <w:rFonts w:ascii="Times New Roman" w:hAnsi="Times New Roman" w:cs="Times New Roman"/>
                <w:b/>
                <w:sz w:val="24"/>
                <w:szCs w:val="24"/>
              </w:rPr>
              <w:t>Araştırma süreçlerinin yönetimi</w:t>
            </w:r>
          </w:p>
        </w:tc>
      </w:tr>
      <w:tr w:rsidR="00223D91" w:rsidRPr="00327BC2" w14:paraId="72B30D30" w14:textId="77777777" w:rsidTr="00327BC2">
        <w:trPr>
          <w:trHeight w:val="191"/>
        </w:trPr>
        <w:tc>
          <w:tcPr>
            <w:tcW w:w="959" w:type="dxa"/>
            <w:tcBorders>
              <w:top w:val="nil"/>
              <w:left w:val="nil"/>
              <w:bottom w:val="nil"/>
              <w:right w:val="nil"/>
            </w:tcBorders>
            <w:shd w:val="clear" w:color="auto" w:fill="auto"/>
            <w:tcMar>
              <w:top w:w="100" w:type="dxa"/>
              <w:left w:w="100" w:type="dxa"/>
              <w:bottom w:w="100" w:type="dxa"/>
              <w:right w:w="100" w:type="dxa"/>
            </w:tcMar>
          </w:tcPr>
          <w:p w14:paraId="783DAD0B" w14:textId="77777777" w:rsidR="00223D91" w:rsidRPr="00327BC2" w:rsidRDefault="00223D91" w:rsidP="0041298C">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nil"/>
              <w:right w:val="nil"/>
            </w:tcBorders>
            <w:shd w:val="clear" w:color="auto" w:fill="auto"/>
            <w:tcMar>
              <w:top w:w="100" w:type="dxa"/>
              <w:left w:w="100" w:type="dxa"/>
              <w:bottom w:w="100" w:type="dxa"/>
              <w:right w:w="100" w:type="dxa"/>
            </w:tcMar>
          </w:tcPr>
          <w:p w14:paraId="71247AB3" w14:textId="77777777" w:rsidR="00223D91" w:rsidRPr="00327BC2" w:rsidRDefault="00223D91" w:rsidP="0041298C">
            <w:pPr>
              <w:widowControl w:val="0"/>
              <w:pBdr>
                <w:top w:val="nil"/>
                <w:left w:val="nil"/>
                <w:bottom w:val="nil"/>
                <w:right w:val="nil"/>
                <w:between w:val="nil"/>
              </w:pBdr>
              <w:spacing w:line="240" w:lineRule="auto"/>
              <w:rPr>
                <w:rFonts w:ascii="Times New Roman" w:hAnsi="Times New Roman" w:cs="Times New Roman"/>
                <w:i/>
                <w:iCs/>
                <w:sz w:val="24"/>
                <w:szCs w:val="24"/>
              </w:rPr>
            </w:pPr>
            <w:r w:rsidRPr="00327BC2">
              <w:rPr>
                <w:rFonts w:ascii="Times New Roman" w:hAnsi="Times New Roman" w:cs="Times New Roman"/>
                <w:i/>
                <w:iCs/>
                <w:sz w:val="24"/>
                <w:szCs w:val="24"/>
              </w:rPr>
              <w:t>Olgunluk Düzeyi</w:t>
            </w:r>
          </w:p>
        </w:tc>
        <w:tc>
          <w:tcPr>
            <w:tcW w:w="284" w:type="dxa"/>
            <w:tcBorders>
              <w:top w:val="nil"/>
              <w:left w:val="nil"/>
              <w:bottom w:val="nil"/>
              <w:right w:val="nil"/>
            </w:tcBorders>
            <w:shd w:val="clear" w:color="auto" w:fill="auto"/>
          </w:tcPr>
          <w:p w14:paraId="1F842109" w14:textId="77777777" w:rsidR="00223D91" w:rsidRPr="00327BC2" w:rsidRDefault="00223D91" w:rsidP="0041298C">
            <w:pPr>
              <w:widowControl w:val="0"/>
              <w:pBdr>
                <w:top w:val="nil"/>
                <w:left w:val="nil"/>
                <w:bottom w:val="nil"/>
                <w:right w:val="nil"/>
                <w:between w:val="nil"/>
              </w:pBdr>
              <w:spacing w:line="240" w:lineRule="auto"/>
              <w:rPr>
                <w:rFonts w:ascii="Times New Roman" w:hAnsi="Times New Roman" w:cs="Times New Roman"/>
                <w:i/>
                <w:iCs/>
                <w:sz w:val="24"/>
                <w:szCs w:val="24"/>
              </w:rPr>
            </w:pPr>
            <w:r w:rsidRPr="00327BC2">
              <w:rPr>
                <w:rFonts w:ascii="Times New Roman" w:hAnsi="Times New Roman" w:cs="Times New Roman"/>
                <w:i/>
                <w:iCs/>
                <w:sz w:val="24"/>
                <w:szCs w:val="24"/>
              </w:rPr>
              <w:t>:</w:t>
            </w:r>
          </w:p>
        </w:tc>
        <w:tc>
          <w:tcPr>
            <w:tcW w:w="6525" w:type="dxa"/>
            <w:tcBorders>
              <w:top w:val="nil"/>
              <w:left w:val="nil"/>
              <w:bottom w:val="nil"/>
              <w:right w:val="nil"/>
            </w:tcBorders>
            <w:shd w:val="clear" w:color="auto" w:fill="F0E22C"/>
          </w:tcPr>
          <w:p w14:paraId="2AF4216D" w14:textId="77777777" w:rsidR="00223D91" w:rsidRPr="00327BC2" w:rsidRDefault="00627D67" w:rsidP="0041298C">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1522662646"/>
                <w:placeholder>
                  <w:docPart w:val="9A52925D89BF466F99B19A01FCA22C78"/>
                </w:placeholder>
                <w:showingPlcHdr/>
                <w:dropDownList>
                  <w:listItem w:value="Bir öğe seçin."/>
                  <w:listItem w:displayText="1: Kurumda araştırma süreçlerinin yönetimi ve organizasyonel yapısına ilişkin bir planlama bulunmamaktadır." w:value="1"/>
                  <w:listItem w:displayText="2: Kurumun araştırma süreçlerinin yönetimi ve organizasyonel yapısına ilişkin yönlendirme ve motive etme gibi hususları dikkate alan planlamaları bulunmaktadır. " w:value="2"/>
                  <w:listItem w:displayText="3: Kurumun genelinde araştırma süreçlerin yönetimi ve organizasyonel yapısı kurumsal tercihler yönünde uygulanmaktadır." w:value="3"/>
                  <w:listItem w:displayText="4: Kurumda araştırma süreçlerinin yönetimi ve organizasyonel yapısının işlerliği ile ilişkili sonuçlar izlenmekte ve önlemler alınmaktadır. " w:value="4"/>
                  <w:listItem w:displayText="5: İçselleştirilmiş, sistematik, sürdürülebilir ve örnek gösterilebilir uygulamalar bulunmaktadır." w:value="5"/>
                </w:dropDownList>
              </w:sdtPr>
              <w:sdtEndPr/>
              <w:sdtContent>
                <w:r w:rsidR="00223D91" w:rsidRPr="00327BC2">
                  <w:rPr>
                    <w:rStyle w:val="YerTutucuMetni"/>
                    <w:rFonts w:ascii="Times New Roman" w:hAnsi="Times New Roman" w:cs="Times New Roman"/>
                    <w:i/>
                    <w:sz w:val="24"/>
                    <w:szCs w:val="24"/>
                  </w:rPr>
                  <w:t>Bir öğe seçin.</w:t>
                </w:r>
              </w:sdtContent>
            </w:sdt>
          </w:p>
        </w:tc>
      </w:tr>
      <w:tr w:rsidR="00223D91" w:rsidRPr="00327BC2" w14:paraId="5AB7ACE8" w14:textId="77777777" w:rsidTr="00327BC2">
        <w:trPr>
          <w:trHeight w:val="6275"/>
        </w:trPr>
        <w:tc>
          <w:tcPr>
            <w:tcW w:w="9773" w:type="dxa"/>
            <w:gridSpan w:val="4"/>
            <w:tcBorders>
              <w:top w:val="nil"/>
              <w:left w:val="nil"/>
              <w:bottom w:val="dotDash" w:sz="4" w:space="0" w:color="auto"/>
              <w:right w:val="nil"/>
            </w:tcBorders>
            <w:shd w:val="clear" w:color="auto" w:fill="auto"/>
            <w:tcMar>
              <w:top w:w="100" w:type="dxa"/>
              <w:left w:w="100" w:type="dxa"/>
              <w:bottom w:w="100" w:type="dxa"/>
              <w:right w:w="100" w:type="dxa"/>
            </w:tcMar>
          </w:tcPr>
          <w:p w14:paraId="5A0DEC49" w14:textId="77777777" w:rsidR="00223D91" w:rsidRPr="00327BC2" w:rsidRDefault="00223D91" w:rsidP="0041298C">
            <w:pPr>
              <w:widowControl w:val="0"/>
              <w:jc w:val="both"/>
              <w:rPr>
                <w:rFonts w:ascii="Times New Roman" w:hAnsi="Times New Roman" w:cs="Times New Roman"/>
                <w:i/>
                <w:iCs/>
                <w:color w:val="B7B7B7"/>
                <w:sz w:val="24"/>
                <w:szCs w:val="24"/>
                <w:u w:val="single"/>
              </w:rPr>
            </w:pPr>
          </w:p>
          <w:p w14:paraId="632EA47A" w14:textId="77777777" w:rsidR="00223D91" w:rsidRPr="00327BC2" w:rsidRDefault="00223D91" w:rsidP="0041298C">
            <w:pPr>
              <w:widowControl w:val="0"/>
              <w:jc w:val="both"/>
              <w:rPr>
                <w:rFonts w:ascii="Times New Roman" w:hAnsi="Times New Roman" w:cs="Times New Roman"/>
                <w:i/>
                <w:iCs/>
                <w:color w:val="B7B7B7"/>
                <w:sz w:val="24"/>
                <w:szCs w:val="24"/>
                <w:u w:val="single"/>
              </w:rPr>
            </w:pPr>
            <w:r w:rsidRPr="00327BC2">
              <w:rPr>
                <w:rFonts w:ascii="Times New Roman" w:hAnsi="Times New Roman" w:cs="Times New Roman"/>
                <w:i/>
                <w:iCs/>
                <w:color w:val="B7B7B7"/>
                <w:sz w:val="24"/>
                <w:szCs w:val="24"/>
                <w:u w:val="single"/>
              </w:rPr>
              <w:t>İYTE Kalite Yönetim Rehberi’nden</w:t>
            </w:r>
          </w:p>
          <w:p w14:paraId="12254312" w14:textId="77777777" w:rsidR="00223D91" w:rsidRPr="00327BC2" w:rsidRDefault="00223D91"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t>Araştırma ekosistemi, Enstitüde üzerinde büyük hassasiyetle durulan ve özgün yönetim ve işleyiş yapılarından oluşan bir çerçeveye sahiptir (</w:t>
            </w:r>
            <w:proofErr w:type="spellStart"/>
            <w:r w:rsidRPr="00327BC2">
              <w:rPr>
                <w:rFonts w:ascii="Times New Roman" w:hAnsi="Times New Roman" w:cs="Times New Roman"/>
                <w:color w:val="B7B7B7"/>
                <w:sz w:val="24"/>
                <w:szCs w:val="24"/>
              </w:rPr>
              <w:t>İYTE_araştırma_ekosistemi</w:t>
            </w:r>
            <w:proofErr w:type="spellEnd"/>
            <w:r w:rsidRPr="00327BC2">
              <w:rPr>
                <w:rFonts w:ascii="Times New Roman" w:hAnsi="Times New Roman" w:cs="Times New Roman"/>
                <w:color w:val="B7B7B7"/>
                <w:sz w:val="24"/>
                <w:szCs w:val="24"/>
              </w:rPr>
              <w:t>). Bu yapı içinde Araştırmalardan Sorumlu Rektör Yardımcısının koordinesindeki Araştırmalar Direktörlüğü ve Tümleşik Araştırma Merkezleri Direktörlüğü ile doğrudan Rektörün temsil ettiği Teknopark İzmir Yönetim Kurulu Başkanlığı yönetimindeki Teknopark İzmir iş birliği ile araştırma faaliyetleri yürütülür, izlenir ve ilgili paydaşlarla iyileştirilir. Bu ekosistemin araştırmacıların potansiyellerini en iyi şekilde ortaya koymalarını sağlayabilmesi için sistem dâhilindeki görev, sorumluluklar ve yetkiler, Araştırma Politikası doğrultusunda yönergelerle net olarak belirlenmiş ve kamuoyuyla paylaşılmıştır (</w:t>
            </w:r>
            <w:proofErr w:type="spellStart"/>
            <w:r w:rsidRPr="00327BC2">
              <w:rPr>
                <w:rFonts w:ascii="Times New Roman" w:hAnsi="Times New Roman" w:cs="Times New Roman"/>
                <w:color w:val="B7B7B7"/>
                <w:sz w:val="24"/>
                <w:szCs w:val="24"/>
              </w:rPr>
              <w:t>İYTE_AD_mevzuat</w:t>
            </w:r>
            <w:proofErr w:type="spellEnd"/>
            <w:r w:rsidRPr="00327BC2">
              <w:rPr>
                <w:rFonts w:ascii="Times New Roman" w:hAnsi="Times New Roman" w:cs="Times New Roman"/>
                <w:color w:val="B7B7B7"/>
                <w:sz w:val="24"/>
                <w:szCs w:val="24"/>
              </w:rPr>
              <w:t xml:space="preserve">; </w:t>
            </w:r>
            <w:proofErr w:type="spellStart"/>
            <w:r w:rsidRPr="00327BC2">
              <w:rPr>
                <w:rFonts w:ascii="Times New Roman" w:hAnsi="Times New Roman" w:cs="Times New Roman"/>
                <w:color w:val="B7B7B7"/>
                <w:sz w:val="24"/>
                <w:szCs w:val="24"/>
              </w:rPr>
              <w:t>İYTE_TAM_yonerge</w:t>
            </w:r>
            <w:proofErr w:type="spellEnd"/>
            <w:r w:rsidRPr="00327BC2">
              <w:rPr>
                <w:rFonts w:ascii="Times New Roman" w:hAnsi="Times New Roman" w:cs="Times New Roman"/>
                <w:color w:val="B7B7B7"/>
                <w:sz w:val="24"/>
                <w:szCs w:val="24"/>
              </w:rPr>
              <w:t>). Bu yapılanma Enstitünün ihtiyaçları doğrultusunda sürekli gözden geçirilir ve iyileştirilir.</w:t>
            </w:r>
          </w:p>
          <w:p w14:paraId="2AC48479" w14:textId="77777777" w:rsidR="00223D91" w:rsidRPr="00327BC2" w:rsidRDefault="00223D91"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t xml:space="preserve">Araştırma süreçlerinin yönetiminde, </w:t>
            </w:r>
            <w:proofErr w:type="spellStart"/>
            <w:r w:rsidRPr="00327BC2">
              <w:rPr>
                <w:rFonts w:ascii="Times New Roman" w:hAnsi="Times New Roman" w:cs="Times New Roman"/>
                <w:color w:val="B7B7B7"/>
                <w:sz w:val="24"/>
                <w:szCs w:val="24"/>
              </w:rPr>
              <w:t>İYTE’deki</w:t>
            </w:r>
            <w:proofErr w:type="spellEnd"/>
            <w:r w:rsidRPr="00327BC2">
              <w:rPr>
                <w:rFonts w:ascii="Times New Roman" w:hAnsi="Times New Roman" w:cs="Times New Roman"/>
                <w:color w:val="B7B7B7"/>
                <w:sz w:val="24"/>
                <w:szCs w:val="24"/>
              </w:rPr>
              <w:t xml:space="preserve"> tüm araştırma çıktıları ile ödüller, projeler, laboratuvar </w:t>
            </w:r>
            <w:proofErr w:type="gramStart"/>
            <w:r w:rsidRPr="00327BC2">
              <w:rPr>
                <w:rFonts w:ascii="Times New Roman" w:hAnsi="Times New Roman" w:cs="Times New Roman"/>
                <w:color w:val="B7B7B7"/>
                <w:sz w:val="24"/>
                <w:szCs w:val="24"/>
              </w:rPr>
              <w:t>ekipmanları</w:t>
            </w:r>
            <w:proofErr w:type="gramEnd"/>
            <w:r w:rsidRPr="00327BC2">
              <w:rPr>
                <w:rFonts w:ascii="Times New Roman" w:hAnsi="Times New Roman" w:cs="Times New Roman"/>
                <w:color w:val="B7B7B7"/>
                <w:sz w:val="24"/>
                <w:szCs w:val="24"/>
              </w:rPr>
              <w:t xml:space="preserve"> gibi araştırma bileşenlerini de aramaya ve keşfetmeye olanak sağlayan, bu bileşenleri araştırmacılarla ilişkilendirerek farklı metriklerle ileri düzey raporlama sunabilen ve kurumsal stratejik kararlara destek veren bir araştırma ve performans değerlendirme bilgi sistemi (GCRIS) kullanılır. Bu sistem aynı zamanda araştırma faaliyetleriyle ilgili her türlü akademik çıktıyı bir araya getiren, düzenleyen ve uzun dönemli koruma sağlayarak tüm bilim dünyası ile paylaşıma izin veren uluslararası standartlarda bir açık kurumsal akademik arşivdir. Araştırma süreçlerinin yönetiminde birim </w:t>
            </w:r>
            <w:proofErr w:type="gramStart"/>
            <w:r w:rsidRPr="00327BC2">
              <w:rPr>
                <w:rFonts w:ascii="Times New Roman" w:hAnsi="Times New Roman" w:cs="Times New Roman"/>
                <w:color w:val="B7B7B7"/>
                <w:sz w:val="24"/>
                <w:szCs w:val="24"/>
              </w:rPr>
              <w:t>bazlı</w:t>
            </w:r>
            <w:proofErr w:type="gramEnd"/>
            <w:r w:rsidRPr="00327BC2">
              <w:rPr>
                <w:rFonts w:ascii="Times New Roman" w:hAnsi="Times New Roman" w:cs="Times New Roman"/>
                <w:color w:val="B7B7B7"/>
                <w:sz w:val="24"/>
                <w:szCs w:val="24"/>
              </w:rPr>
              <w:t xml:space="preserve"> izlemeler, birimlerin hazırladığı faaliyet raporları aracılığıyla; üst yönetim izlemesi ise yılda bir kez birim yöneticilerinin üst yönetime yaptığı faaliyet sunumları ve stratejik plandaki performans göstergelerinin izlenmesi ile gerçekleştirilir.</w:t>
            </w:r>
          </w:p>
          <w:p w14:paraId="71C4605A" w14:textId="77777777" w:rsidR="00223D91" w:rsidRPr="00327BC2" w:rsidRDefault="00223D91"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t>Araştırmalar Direktörlüğü</w:t>
            </w:r>
          </w:p>
          <w:p w14:paraId="2256BF47" w14:textId="77777777" w:rsidR="00223D91" w:rsidRPr="00327BC2" w:rsidRDefault="00223D91"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t xml:space="preserve">Araştırmalar Direktörlüğü (AD), bünyesindeki Bilimsel Araştırma Projeleri Koordinatörlüğüyle (BAP-K) birlikte, Enstitünün araştırma stratejisi ve hedeflerinin belirlenmesi, izlenmesi ve iyileştirilmesi süreçlerinin </w:t>
            </w:r>
            <w:proofErr w:type="gramStart"/>
            <w:r w:rsidRPr="00327BC2">
              <w:rPr>
                <w:rFonts w:ascii="Times New Roman" w:hAnsi="Times New Roman" w:cs="Times New Roman"/>
                <w:color w:val="B7B7B7"/>
                <w:sz w:val="24"/>
                <w:szCs w:val="24"/>
              </w:rPr>
              <w:t>optimizasyonunu</w:t>
            </w:r>
            <w:proofErr w:type="gramEnd"/>
            <w:r w:rsidRPr="00327BC2">
              <w:rPr>
                <w:rFonts w:ascii="Times New Roman" w:hAnsi="Times New Roman" w:cs="Times New Roman"/>
                <w:color w:val="B7B7B7"/>
                <w:sz w:val="24"/>
                <w:szCs w:val="24"/>
              </w:rPr>
              <w:t xml:space="preserve"> sağlarken Teknopark İzmir bünyesindeki Atmosfer Teknoloji Transfer Ofisi (TTO) ile iş birliği içinde çalışır (</w:t>
            </w:r>
            <w:proofErr w:type="spellStart"/>
            <w:r w:rsidRPr="00327BC2">
              <w:rPr>
                <w:rFonts w:ascii="Times New Roman" w:hAnsi="Times New Roman" w:cs="Times New Roman"/>
                <w:color w:val="B7B7B7"/>
                <w:sz w:val="24"/>
                <w:szCs w:val="24"/>
              </w:rPr>
              <w:t>İYTE_AD_şema</w:t>
            </w:r>
            <w:proofErr w:type="spellEnd"/>
            <w:r w:rsidRPr="00327BC2">
              <w:rPr>
                <w:rFonts w:ascii="Times New Roman" w:hAnsi="Times New Roman" w:cs="Times New Roman"/>
                <w:color w:val="B7B7B7"/>
                <w:sz w:val="24"/>
                <w:szCs w:val="24"/>
              </w:rPr>
              <w:t>). Enstitüde BAP komisyonu ve BAP-</w:t>
            </w:r>
            <w:proofErr w:type="spellStart"/>
            <w:r w:rsidRPr="00327BC2">
              <w:rPr>
                <w:rFonts w:ascii="Times New Roman" w:hAnsi="Times New Roman" w:cs="Times New Roman"/>
                <w:color w:val="B7B7B7"/>
                <w:sz w:val="24"/>
                <w:szCs w:val="24"/>
              </w:rPr>
              <w:t>K’nın</w:t>
            </w:r>
            <w:proofErr w:type="spellEnd"/>
            <w:r w:rsidRPr="00327BC2">
              <w:rPr>
                <w:rFonts w:ascii="Times New Roman" w:hAnsi="Times New Roman" w:cs="Times New Roman"/>
                <w:color w:val="B7B7B7"/>
                <w:sz w:val="24"/>
                <w:szCs w:val="24"/>
              </w:rPr>
              <w:t xml:space="preserve"> görevleri, sorumlulukları ve çalışma ilkeleri “Bilimsel Araştırma Projelerinin (BAP) Seçimi, Kabulü ve İzlenmesinde </w:t>
            </w:r>
            <w:proofErr w:type="spellStart"/>
            <w:r w:rsidRPr="00327BC2">
              <w:rPr>
                <w:rFonts w:ascii="Times New Roman" w:hAnsi="Times New Roman" w:cs="Times New Roman"/>
                <w:color w:val="B7B7B7"/>
                <w:sz w:val="24"/>
                <w:szCs w:val="24"/>
              </w:rPr>
              <w:t>Gözönüne</w:t>
            </w:r>
            <w:proofErr w:type="spellEnd"/>
            <w:r w:rsidRPr="00327BC2">
              <w:rPr>
                <w:rFonts w:ascii="Times New Roman" w:hAnsi="Times New Roman" w:cs="Times New Roman"/>
                <w:color w:val="B7B7B7"/>
                <w:sz w:val="24"/>
                <w:szCs w:val="24"/>
              </w:rPr>
              <w:t xml:space="preserve"> Alınacak İlkelere İlişkin Yönerge” ve “Bilimsel Araştırma Projeleri Koordinatörlüğü (BAP-K) Çalışma Usul ve </w:t>
            </w:r>
            <w:proofErr w:type="spellStart"/>
            <w:r w:rsidRPr="00327BC2">
              <w:rPr>
                <w:rFonts w:ascii="Times New Roman" w:hAnsi="Times New Roman" w:cs="Times New Roman"/>
                <w:color w:val="B7B7B7"/>
                <w:sz w:val="24"/>
                <w:szCs w:val="24"/>
              </w:rPr>
              <w:t>Esaslar”ı</w:t>
            </w:r>
            <w:proofErr w:type="spellEnd"/>
            <w:r w:rsidRPr="00327BC2">
              <w:rPr>
                <w:rFonts w:ascii="Times New Roman" w:hAnsi="Times New Roman" w:cs="Times New Roman"/>
                <w:color w:val="B7B7B7"/>
                <w:sz w:val="24"/>
                <w:szCs w:val="24"/>
              </w:rPr>
              <w:t xml:space="preserve"> ile </w:t>
            </w:r>
            <w:r w:rsidRPr="00327BC2">
              <w:rPr>
                <w:rFonts w:ascii="Times New Roman" w:hAnsi="Times New Roman" w:cs="Times New Roman"/>
                <w:color w:val="B7B7B7"/>
                <w:sz w:val="24"/>
                <w:szCs w:val="24"/>
              </w:rPr>
              <w:lastRenderedPageBreak/>
              <w:t>tanımlanmış ve organizasyon şeması oluşturulmuştur (</w:t>
            </w:r>
            <w:proofErr w:type="spellStart"/>
            <w:r w:rsidRPr="00327BC2">
              <w:rPr>
                <w:rFonts w:ascii="Times New Roman" w:hAnsi="Times New Roman" w:cs="Times New Roman"/>
                <w:color w:val="B7B7B7"/>
                <w:sz w:val="24"/>
                <w:szCs w:val="24"/>
              </w:rPr>
              <w:t>İYTE_BAP_şema</w:t>
            </w:r>
            <w:proofErr w:type="spellEnd"/>
            <w:r w:rsidRPr="00327BC2">
              <w:rPr>
                <w:rFonts w:ascii="Times New Roman" w:hAnsi="Times New Roman" w:cs="Times New Roman"/>
                <w:color w:val="B7B7B7"/>
                <w:sz w:val="24"/>
                <w:szCs w:val="24"/>
              </w:rPr>
              <w:t>). BAP, TÜBİTAK, SANTEZ ve diğer ulusal projeler ile AB projelerine ilişkin hizmetlerin yürütülmesi ve izlenmesi BAP-</w:t>
            </w:r>
            <w:proofErr w:type="spellStart"/>
            <w:r w:rsidRPr="00327BC2">
              <w:rPr>
                <w:rFonts w:ascii="Times New Roman" w:hAnsi="Times New Roman" w:cs="Times New Roman"/>
                <w:color w:val="B7B7B7"/>
                <w:sz w:val="24"/>
                <w:szCs w:val="24"/>
              </w:rPr>
              <w:t>K’nın</w:t>
            </w:r>
            <w:proofErr w:type="spellEnd"/>
            <w:r w:rsidRPr="00327BC2">
              <w:rPr>
                <w:rFonts w:ascii="Times New Roman" w:hAnsi="Times New Roman" w:cs="Times New Roman"/>
                <w:color w:val="B7B7B7"/>
                <w:sz w:val="24"/>
                <w:szCs w:val="24"/>
              </w:rPr>
              <w:t xml:space="preserve"> sorumluluğundadır.</w:t>
            </w:r>
          </w:p>
          <w:p w14:paraId="1AB18744" w14:textId="77777777" w:rsidR="00223D91" w:rsidRPr="00327BC2" w:rsidRDefault="00223D91"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t xml:space="preserve">Direktörlük, fikri ve sınai hakların yönetimi ve lisanslama hizmetleri süreçlerini Teknopark İzmir’e bağlı Atmosfer TTO ile koordinasyon halinde yürütür. Enstitüde entelektüel varlıkların yönetimi, paylaşımı, 32 korunması ve maddi manevi değerlere dönüştürülmesinin sağlanması ile ilgili temel ilke ve </w:t>
            </w:r>
            <w:proofErr w:type="spellStart"/>
            <w:r w:rsidRPr="00327BC2">
              <w:rPr>
                <w:rFonts w:ascii="Times New Roman" w:hAnsi="Times New Roman" w:cs="Times New Roman"/>
                <w:color w:val="B7B7B7"/>
                <w:sz w:val="24"/>
                <w:szCs w:val="24"/>
              </w:rPr>
              <w:t>esaslar,“İYTE</w:t>
            </w:r>
            <w:proofErr w:type="spellEnd"/>
            <w:r w:rsidRPr="00327BC2">
              <w:rPr>
                <w:rFonts w:ascii="Times New Roman" w:hAnsi="Times New Roman" w:cs="Times New Roman"/>
                <w:color w:val="B7B7B7"/>
                <w:sz w:val="24"/>
                <w:szCs w:val="24"/>
              </w:rPr>
              <w:t xml:space="preserve"> Fikri ve Sınaî Mülkiyet Hakları (FSMH) Politikası ve Entelektüel Varlıklar Yönetimine İlişkin Yönerge” ile güvence altına alınmıştır. Patent süreçlerinin işleyişi ve sorumluları, söz konusu yönerge ile tanımlanmış olup, süreç, yönerge doğrultusunda oluşturulan iş akış şemasına uygun olarak yürütülür (</w:t>
            </w:r>
            <w:proofErr w:type="spellStart"/>
            <w:r w:rsidRPr="00327BC2">
              <w:rPr>
                <w:rFonts w:ascii="Times New Roman" w:hAnsi="Times New Roman" w:cs="Times New Roman"/>
                <w:color w:val="B7B7B7"/>
                <w:sz w:val="24"/>
                <w:szCs w:val="24"/>
              </w:rPr>
              <w:t>FSMH_iş_akışı</w:t>
            </w:r>
            <w:proofErr w:type="spellEnd"/>
            <w:r w:rsidRPr="00327BC2">
              <w:rPr>
                <w:rFonts w:ascii="Times New Roman" w:hAnsi="Times New Roman" w:cs="Times New Roman"/>
                <w:color w:val="B7B7B7"/>
                <w:sz w:val="24"/>
                <w:szCs w:val="24"/>
              </w:rPr>
              <w:t>). Konuyla ilgili akademisyen ve öğrencilerde farkındalığın artırılması için seminerler ve birebir görüşmeler gerçekleştirilir.</w:t>
            </w:r>
          </w:p>
          <w:p w14:paraId="21466C60" w14:textId="77777777" w:rsidR="00223D91" w:rsidRPr="00327BC2" w:rsidRDefault="00223D91"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t>Tümleşik Araştırma Merkezleri (TAM) Direktörlüğü</w:t>
            </w:r>
          </w:p>
          <w:p w14:paraId="0FC06B39" w14:textId="77777777" w:rsidR="00223D91" w:rsidRPr="00327BC2" w:rsidRDefault="00223D91"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t xml:space="preserve">Enstitüde faaliyet gösteren bütün uygulama ve araştırma merkezlerini koordine etmek için kurulmuş olan TAM Direktörlüğü, İYTE içi ve dışı akademisyenlere ve endüstriden araştırmacılara sunulan </w:t>
            </w:r>
            <w:proofErr w:type="spellStart"/>
            <w:r w:rsidRPr="00327BC2">
              <w:rPr>
                <w:rFonts w:ascii="Times New Roman" w:hAnsi="Times New Roman" w:cs="Times New Roman"/>
                <w:color w:val="B7B7B7"/>
                <w:sz w:val="24"/>
                <w:szCs w:val="24"/>
              </w:rPr>
              <w:t>testanaliz</w:t>
            </w:r>
            <w:proofErr w:type="spellEnd"/>
            <w:r w:rsidRPr="00327BC2">
              <w:rPr>
                <w:rFonts w:ascii="Times New Roman" w:hAnsi="Times New Roman" w:cs="Times New Roman"/>
                <w:color w:val="B7B7B7"/>
                <w:sz w:val="24"/>
                <w:szCs w:val="24"/>
              </w:rPr>
              <w:t xml:space="preserve"> ve araştırma altyapısının etkin ve sürdürülebilir kılınmasını sağlar.</w:t>
            </w:r>
          </w:p>
          <w:p w14:paraId="42EFAC1B" w14:textId="77777777" w:rsidR="00223D91" w:rsidRPr="00327BC2" w:rsidRDefault="00223D91"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t xml:space="preserve">Direktörlük koordinesinde İYTE uygulama ve araştırma merkezlerinin sunduğu test ve analiz hizmetleri “TAM Test-Analiz Hizmetleri </w:t>
            </w:r>
            <w:proofErr w:type="spellStart"/>
            <w:r w:rsidRPr="00327BC2">
              <w:rPr>
                <w:rFonts w:ascii="Times New Roman" w:hAnsi="Times New Roman" w:cs="Times New Roman"/>
                <w:color w:val="B7B7B7"/>
                <w:sz w:val="24"/>
                <w:szCs w:val="24"/>
              </w:rPr>
              <w:t>Yönergesi”ne</w:t>
            </w:r>
            <w:proofErr w:type="spellEnd"/>
            <w:r w:rsidRPr="00327BC2">
              <w:rPr>
                <w:rFonts w:ascii="Times New Roman" w:hAnsi="Times New Roman" w:cs="Times New Roman"/>
                <w:color w:val="B7B7B7"/>
                <w:sz w:val="24"/>
                <w:szCs w:val="24"/>
              </w:rPr>
              <w:t xml:space="preserve"> uygun olarak sağlanır. Hizmet kataloğu, her yıl merkezlerin gerçekleştirdiği piyasa fiyat araştırması doğrultusunda ilgili merkezlerin yönetim kurullarının, TAM Yönetim Kurulunun ve Enstitü Yönetim Kurulunun onayı ile güncellenir ve ilgili ortamlarda paylaşılır.</w:t>
            </w:r>
          </w:p>
          <w:p w14:paraId="4563C0F0" w14:textId="77777777" w:rsidR="00223D91" w:rsidRPr="00327BC2" w:rsidRDefault="00223D91"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t>TAM bünyesinde analiz hizmeti, eşit erişim ve kurumsallığı öne çıkaran, elektronik bir alışveriş sitesi mantığı ile çalışan EAS-e-TAM (</w:t>
            </w:r>
            <w:proofErr w:type="spellStart"/>
            <w:r w:rsidRPr="00327BC2">
              <w:rPr>
                <w:rFonts w:ascii="Times New Roman" w:hAnsi="Times New Roman" w:cs="Times New Roman"/>
                <w:color w:val="B7B7B7"/>
                <w:sz w:val="24"/>
                <w:szCs w:val="24"/>
              </w:rPr>
              <w:t>Effective</w:t>
            </w:r>
            <w:proofErr w:type="spellEnd"/>
            <w:r w:rsidRPr="00327BC2">
              <w:rPr>
                <w:rFonts w:ascii="Times New Roman" w:hAnsi="Times New Roman" w:cs="Times New Roman"/>
                <w:color w:val="B7B7B7"/>
                <w:sz w:val="24"/>
                <w:szCs w:val="24"/>
              </w:rPr>
              <w:t xml:space="preserve">, </w:t>
            </w:r>
            <w:proofErr w:type="spellStart"/>
            <w:r w:rsidRPr="00327BC2">
              <w:rPr>
                <w:rFonts w:ascii="Times New Roman" w:hAnsi="Times New Roman" w:cs="Times New Roman"/>
                <w:color w:val="B7B7B7"/>
                <w:sz w:val="24"/>
                <w:szCs w:val="24"/>
              </w:rPr>
              <w:t>Accessible</w:t>
            </w:r>
            <w:proofErr w:type="spellEnd"/>
            <w:r w:rsidRPr="00327BC2">
              <w:rPr>
                <w:rFonts w:ascii="Times New Roman" w:hAnsi="Times New Roman" w:cs="Times New Roman"/>
                <w:color w:val="B7B7B7"/>
                <w:sz w:val="24"/>
                <w:szCs w:val="24"/>
              </w:rPr>
              <w:t xml:space="preserve">, </w:t>
            </w:r>
            <w:proofErr w:type="spellStart"/>
            <w:r w:rsidRPr="00327BC2">
              <w:rPr>
                <w:rFonts w:ascii="Times New Roman" w:hAnsi="Times New Roman" w:cs="Times New Roman"/>
                <w:color w:val="B7B7B7"/>
                <w:sz w:val="24"/>
                <w:szCs w:val="24"/>
              </w:rPr>
              <w:t>Systematic</w:t>
            </w:r>
            <w:proofErr w:type="spellEnd"/>
            <w:r w:rsidRPr="00327BC2">
              <w:rPr>
                <w:rFonts w:ascii="Times New Roman" w:hAnsi="Times New Roman" w:cs="Times New Roman"/>
                <w:color w:val="B7B7B7"/>
                <w:sz w:val="24"/>
                <w:szCs w:val="24"/>
              </w:rPr>
              <w:t>-</w:t>
            </w:r>
            <w:proofErr w:type="spellStart"/>
            <w:r w:rsidRPr="00327BC2">
              <w:rPr>
                <w:rFonts w:ascii="Times New Roman" w:hAnsi="Times New Roman" w:cs="Times New Roman"/>
                <w:color w:val="B7B7B7"/>
                <w:sz w:val="24"/>
                <w:szCs w:val="24"/>
              </w:rPr>
              <w:t>electronic</w:t>
            </w:r>
            <w:proofErr w:type="spellEnd"/>
            <w:r w:rsidRPr="00327BC2">
              <w:rPr>
                <w:rFonts w:ascii="Times New Roman" w:hAnsi="Times New Roman" w:cs="Times New Roman"/>
                <w:color w:val="B7B7B7"/>
                <w:sz w:val="24"/>
                <w:szCs w:val="24"/>
              </w:rPr>
              <w:t xml:space="preserve">-Test </w:t>
            </w:r>
            <w:proofErr w:type="spellStart"/>
            <w:r w:rsidRPr="00327BC2">
              <w:rPr>
                <w:rFonts w:ascii="Times New Roman" w:hAnsi="Times New Roman" w:cs="Times New Roman"/>
                <w:color w:val="B7B7B7"/>
                <w:sz w:val="24"/>
                <w:szCs w:val="24"/>
              </w:rPr>
              <w:t>and</w:t>
            </w:r>
            <w:proofErr w:type="spellEnd"/>
            <w:r w:rsidRPr="00327BC2">
              <w:rPr>
                <w:rFonts w:ascii="Times New Roman" w:hAnsi="Times New Roman" w:cs="Times New Roman"/>
                <w:color w:val="B7B7B7"/>
                <w:sz w:val="24"/>
                <w:szCs w:val="24"/>
              </w:rPr>
              <w:t xml:space="preserve"> Analysis </w:t>
            </w:r>
            <w:proofErr w:type="spellStart"/>
            <w:r w:rsidRPr="00327BC2">
              <w:rPr>
                <w:rFonts w:ascii="Times New Roman" w:hAnsi="Times New Roman" w:cs="Times New Roman"/>
                <w:color w:val="B7B7B7"/>
                <w:sz w:val="24"/>
                <w:szCs w:val="24"/>
              </w:rPr>
              <w:t>Module</w:t>
            </w:r>
            <w:proofErr w:type="spellEnd"/>
            <w:r w:rsidRPr="00327BC2">
              <w:rPr>
                <w:rFonts w:ascii="Times New Roman" w:hAnsi="Times New Roman" w:cs="Times New Roman"/>
                <w:color w:val="B7B7B7"/>
                <w:sz w:val="24"/>
                <w:szCs w:val="24"/>
              </w:rPr>
              <w:t xml:space="preserve">) uygulaması üzerinden yönetilir. Sistemden elde edilen istatistikler sayesinde merkezlerde ve uygulamada öne çıkan ihtiyaçlar, dar boğazlar ve kullanıcı </w:t>
            </w:r>
            <w:proofErr w:type="gramStart"/>
            <w:r w:rsidRPr="00327BC2">
              <w:rPr>
                <w:rFonts w:ascii="Times New Roman" w:hAnsi="Times New Roman" w:cs="Times New Roman"/>
                <w:color w:val="B7B7B7"/>
                <w:sz w:val="24"/>
                <w:szCs w:val="24"/>
              </w:rPr>
              <w:t>profilleri</w:t>
            </w:r>
            <w:proofErr w:type="gramEnd"/>
            <w:r w:rsidRPr="00327BC2">
              <w:rPr>
                <w:rFonts w:ascii="Times New Roman" w:hAnsi="Times New Roman" w:cs="Times New Roman"/>
                <w:color w:val="B7B7B7"/>
                <w:sz w:val="24"/>
                <w:szCs w:val="24"/>
              </w:rPr>
              <w:t xml:space="preserve"> belirlenerek uygulamanın ve analiz sürecinin iyileştirilmesine yönelik stratejiler oluşturulur, merkezlerdeki uzmanlar ve merkezleri kullanan araştırmacıların görüşleri de alınarak gerekli iyileştirmeler gerçekleştirilir.</w:t>
            </w:r>
          </w:p>
          <w:p w14:paraId="72425ECB" w14:textId="77777777" w:rsidR="00223D91" w:rsidRPr="00327BC2" w:rsidRDefault="00223D91"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t>TAM organizasyon yapısı, UNESCO tarafından 2019 Eylül’de tanınmış ve UNESCO TWAS bünyesinde Mükemmeliyet Merkezi olarak kabul edilmiştir.</w:t>
            </w:r>
          </w:p>
          <w:p w14:paraId="77103699" w14:textId="77777777" w:rsidR="00223D91" w:rsidRPr="00327BC2" w:rsidRDefault="00223D91"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t>Teknopark İzmir</w:t>
            </w:r>
          </w:p>
          <w:p w14:paraId="43C43F28" w14:textId="73D8F250" w:rsidR="00223D91" w:rsidRPr="00327BC2" w:rsidRDefault="00DC292D"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t xml:space="preserve">4691 sayılı Teknoloji Geliştirme Kanununa uygun olarak kurulan Teknopark İzmir’in kuruluş amacı ve </w:t>
            </w:r>
            <w:proofErr w:type="gramStart"/>
            <w:r w:rsidRPr="00327BC2">
              <w:rPr>
                <w:rFonts w:ascii="Times New Roman" w:hAnsi="Times New Roman" w:cs="Times New Roman"/>
                <w:color w:val="B7B7B7"/>
                <w:sz w:val="24"/>
                <w:szCs w:val="24"/>
              </w:rPr>
              <w:t>vizyonu</w:t>
            </w:r>
            <w:proofErr w:type="gramEnd"/>
            <w:r w:rsidRPr="00327BC2">
              <w:rPr>
                <w:rFonts w:ascii="Times New Roman" w:hAnsi="Times New Roman" w:cs="Times New Roman"/>
                <w:color w:val="B7B7B7"/>
                <w:sz w:val="24"/>
                <w:szCs w:val="24"/>
              </w:rPr>
              <w:t xml:space="preserve">, organizasyonel yapısı, çalışma usul ve esasları ile sorumluları “İzmir Teknoloji Geliştirme Bölgesi İşletme Yönergesi” ile güvence altına alınmıştır. </w:t>
            </w:r>
            <w:proofErr w:type="spellStart"/>
            <w:r w:rsidRPr="00327BC2">
              <w:rPr>
                <w:rFonts w:ascii="Times New Roman" w:hAnsi="Times New Roman" w:cs="Times New Roman"/>
                <w:color w:val="B7B7B7"/>
                <w:sz w:val="24"/>
                <w:szCs w:val="24"/>
              </w:rPr>
              <w:t>İnovasyon</w:t>
            </w:r>
            <w:proofErr w:type="spellEnd"/>
            <w:r w:rsidRPr="00327BC2">
              <w:rPr>
                <w:rFonts w:ascii="Times New Roman" w:hAnsi="Times New Roman" w:cs="Times New Roman"/>
                <w:color w:val="B7B7B7"/>
                <w:sz w:val="24"/>
                <w:szCs w:val="24"/>
              </w:rPr>
              <w:t xml:space="preserve"> Merkezi, </w:t>
            </w:r>
            <w:proofErr w:type="spellStart"/>
            <w:r w:rsidRPr="00327BC2">
              <w:rPr>
                <w:rFonts w:ascii="Times New Roman" w:hAnsi="Times New Roman" w:cs="Times New Roman"/>
                <w:color w:val="B7B7B7"/>
                <w:sz w:val="24"/>
                <w:szCs w:val="24"/>
              </w:rPr>
              <w:t>ClassBoom</w:t>
            </w:r>
            <w:proofErr w:type="spellEnd"/>
            <w:r w:rsidRPr="00327BC2">
              <w:rPr>
                <w:rFonts w:ascii="Times New Roman" w:hAnsi="Times New Roman" w:cs="Times New Roman"/>
                <w:color w:val="B7B7B7"/>
                <w:sz w:val="24"/>
                <w:szCs w:val="24"/>
              </w:rPr>
              <w:t xml:space="preserve"> Kuluçka Merkezi ve Atmosfer TTO, Teknopark İzmir bünyesinde faaliyet gösterir.</w:t>
            </w:r>
          </w:p>
        </w:tc>
      </w:tr>
      <w:tr w:rsidR="00223D91" w:rsidRPr="00327BC2" w14:paraId="1162437E" w14:textId="77777777" w:rsidTr="00327BC2">
        <w:trPr>
          <w:trHeight w:val="420"/>
        </w:trPr>
        <w:tc>
          <w:tcPr>
            <w:tcW w:w="9773" w:type="dxa"/>
            <w:gridSpan w:val="4"/>
            <w:tcBorders>
              <w:top w:val="dotDash" w:sz="4" w:space="0" w:color="auto"/>
              <w:left w:val="dotDash" w:sz="4" w:space="0" w:color="auto"/>
              <w:bottom w:val="dotDash" w:sz="4" w:space="0" w:color="auto"/>
              <w:right w:val="dotDash" w:sz="4" w:space="0" w:color="auto"/>
            </w:tcBorders>
            <w:shd w:val="clear" w:color="auto" w:fill="auto"/>
            <w:tcMar>
              <w:top w:w="100" w:type="dxa"/>
              <w:left w:w="100" w:type="dxa"/>
              <w:bottom w:w="100" w:type="dxa"/>
              <w:right w:w="100" w:type="dxa"/>
            </w:tcMar>
          </w:tcPr>
          <w:p w14:paraId="4D837F0A" w14:textId="2D28DDE9" w:rsidR="00223D91" w:rsidRPr="00327BC2" w:rsidRDefault="00AE03C3" w:rsidP="0041298C">
            <w:pPr>
              <w:widowControl w:val="0"/>
              <w:pBdr>
                <w:top w:val="nil"/>
                <w:left w:val="nil"/>
                <w:bottom w:val="nil"/>
                <w:right w:val="nil"/>
                <w:between w:val="nil"/>
              </w:pBdr>
              <w:spacing w:line="240" w:lineRule="auto"/>
              <w:rPr>
                <w:rFonts w:ascii="Times New Roman" w:hAnsi="Times New Roman" w:cs="Times New Roman"/>
                <w:sz w:val="24"/>
                <w:szCs w:val="24"/>
              </w:rPr>
            </w:pPr>
            <w:proofErr w:type="gramStart"/>
            <w:r w:rsidRPr="00AE03C3">
              <w:rPr>
                <w:rFonts w:ascii="Times New Roman" w:hAnsi="Times New Roman" w:cs="Times New Roman"/>
                <w:sz w:val="24"/>
                <w:szCs w:val="24"/>
                <w:highlight w:val="yellow"/>
                <w:u w:val="single"/>
              </w:rPr>
              <w:lastRenderedPageBreak/>
              <w:t>.....</w:t>
            </w:r>
            <w:proofErr w:type="gramEnd"/>
            <w:r w:rsidR="00223D91" w:rsidRPr="00327BC2">
              <w:rPr>
                <w:rFonts w:ascii="Times New Roman" w:hAnsi="Times New Roman" w:cs="Times New Roman"/>
                <w:sz w:val="24"/>
                <w:szCs w:val="24"/>
                <w:u w:val="single"/>
              </w:rPr>
              <w:t xml:space="preserve"> Yılı Faaliyetleri, Uygulamaları ve İyileştirmeleri</w:t>
            </w:r>
          </w:p>
          <w:p w14:paraId="623E76D9" w14:textId="0450AA30" w:rsidR="00223D91" w:rsidRPr="00327BC2" w:rsidRDefault="00223D91" w:rsidP="0041298C">
            <w:pPr>
              <w:widowControl w:val="0"/>
              <w:pBdr>
                <w:top w:val="nil"/>
                <w:left w:val="nil"/>
                <w:bottom w:val="nil"/>
                <w:right w:val="nil"/>
                <w:between w:val="nil"/>
              </w:pBdr>
              <w:spacing w:line="240" w:lineRule="auto"/>
              <w:rPr>
                <w:rFonts w:ascii="Times New Roman" w:hAnsi="Times New Roman" w:cs="Times New Roman"/>
                <w:sz w:val="24"/>
                <w:szCs w:val="24"/>
              </w:rPr>
            </w:pPr>
            <w:bookmarkStart w:id="0" w:name="_GoBack"/>
            <w:bookmarkEnd w:id="0"/>
          </w:p>
        </w:tc>
      </w:tr>
    </w:tbl>
    <w:p w14:paraId="243707C2" w14:textId="44865A7E" w:rsidR="00327BC2" w:rsidRPr="00327BC2" w:rsidRDefault="00327BC2">
      <w:pPr>
        <w:rPr>
          <w:rFonts w:ascii="Times New Roman" w:hAnsi="Times New Roman" w:cs="Times New Roman"/>
          <w:sz w:val="24"/>
          <w:szCs w:val="24"/>
        </w:rPr>
      </w:pPr>
    </w:p>
    <w:tbl>
      <w:tblPr>
        <w:tblW w:w="9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59"/>
        <w:gridCol w:w="2005"/>
        <w:gridCol w:w="284"/>
        <w:gridCol w:w="6525"/>
      </w:tblGrid>
      <w:tr w:rsidR="00DC292D" w:rsidRPr="00327BC2" w14:paraId="5DB1A7DE" w14:textId="77777777" w:rsidTr="00327BC2">
        <w:tc>
          <w:tcPr>
            <w:tcW w:w="959" w:type="dxa"/>
            <w:tcBorders>
              <w:top w:val="nil"/>
              <w:left w:val="nil"/>
              <w:bottom w:val="nil"/>
              <w:right w:val="nil"/>
            </w:tcBorders>
            <w:shd w:val="clear" w:color="auto" w:fill="auto"/>
            <w:tcMar>
              <w:top w:w="100" w:type="dxa"/>
              <w:left w:w="100" w:type="dxa"/>
              <w:bottom w:w="100" w:type="dxa"/>
              <w:right w:w="100" w:type="dxa"/>
            </w:tcMar>
          </w:tcPr>
          <w:p w14:paraId="2933E818" w14:textId="4E0DFC85" w:rsidR="00DC292D" w:rsidRPr="00327BC2" w:rsidRDefault="00DC292D" w:rsidP="0041298C">
            <w:pPr>
              <w:widowControl w:val="0"/>
              <w:pBdr>
                <w:top w:val="nil"/>
                <w:left w:val="nil"/>
                <w:bottom w:val="nil"/>
                <w:right w:val="nil"/>
                <w:between w:val="nil"/>
              </w:pBdr>
              <w:spacing w:line="240" w:lineRule="auto"/>
              <w:rPr>
                <w:rFonts w:ascii="Times New Roman" w:hAnsi="Times New Roman" w:cs="Times New Roman"/>
                <w:b/>
                <w:sz w:val="24"/>
                <w:szCs w:val="24"/>
              </w:rPr>
            </w:pPr>
            <w:r w:rsidRPr="00327BC2">
              <w:rPr>
                <w:rFonts w:ascii="Times New Roman" w:hAnsi="Times New Roman" w:cs="Times New Roman"/>
                <w:b/>
                <w:sz w:val="24"/>
                <w:szCs w:val="24"/>
              </w:rPr>
              <w:t>C.1.2.</w:t>
            </w:r>
          </w:p>
        </w:tc>
        <w:tc>
          <w:tcPr>
            <w:tcW w:w="8814" w:type="dxa"/>
            <w:gridSpan w:val="3"/>
            <w:tcBorders>
              <w:top w:val="nil"/>
              <w:left w:val="nil"/>
              <w:bottom w:val="nil"/>
              <w:right w:val="nil"/>
            </w:tcBorders>
            <w:shd w:val="clear" w:color="auto" w:fill="auto"/>
            <w:tcMar>
              <w:top w:w="100" w:type="dxa"/>
              <w:left w:w="100" w:type="dxa"/>
              <w:bottom w:w="100" w:type="dxa"/>
              <w:right w:w="100" w:type="dxa"/>
            </w:tcMar>
          </w:tcPr>
          <w:p w14:paraId="150436A9" w14:textId="474F99C9" w:rsidR="00DC292D" w:rsidRPr="00327BC2" w:rsidRDefault="00DC292D" w:rsidP="0041298C">
            <w:pPr>
              <w:widowControl w:val="0"/>
              <w:pBdr>
                <w:top w:val="nil"/>
                <w:left w:val="nil"/>
                <w:bottom w:val="nil"/>
                <w:right w:val="nil"/>
                <w:between w:val="nil"/>
              </w:pBdr>
              <w:spacing w:line="240" w:lineRule="auto"/>
              <w:rPr>
                <w:rFonts w:ascii="Times New Roman" w:hAnsi="Times New Roman" w:cs="Times New Roman"/>
                <w:b/>
                <w:sz w:val="24"/>
                <w:szCs w:val="24"/>
              </w:rPr>
            </w:pPr>
            <w:r w:rsidRPr="00327BC2">
              <w:rPr>
                <w:rFonts w:ascii="Times New Roman" w:hAnsi="Times New Roman" w:cs="Times New Roman"/>
                <w:b/>
                <w:sz w:val="24"/>
                <w:szCs w:val="24"/>
              </w:rPr>
              <w:t>İç ve dış kaynaklar</w:t>
            </w:r>
          </w:p>
        </w:tc>
      </w:tr>
      <w:tr w:rsidR="00DC292D" w:rsidRPr="00327BC2" w14:paraId="0E71CFB7" w14:textId="77777777" w:rsidTr="00327BC2">
        <w:trPr>
          <w:trHeight w:val="191"/>
        </w:trPr>
        <w:tc>
          <w:tcPr>
            <w:tcW w:w="959" w:type="dxa"/>
            <w:tcBorders>
              <w:top w:val="nil"/>
              <w:left w:val="nil"/>
              <w:bottom w:val="nil"/>
              <w:right w:val="nil"/>
            </w:tcBorders>
            <w:shd w:val="clear" w:color="auto" w:fill="auto"/>
            <w:tcMar>
              <w:top w:w="100" w:type="dxa"/>
              <w:left w:w="100" w:type="dxa"/>
              <w:bottom w:w="100" w:type="dxa"/>
              <w:right w:w="100" w:type="dxa"/>
            </w:tcMar>
          </w:tcPr>
          <w:p w14:paraId="0381CB84" w14:textId="77777777" w:rsidR="00DC292D" w:rsidRPr="00327BC2" w:rsidRDefault="00DC292D" w:rsidP="0041298C">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nil"/>
              <w:right w:val="nil"/>
            </w:tcBorders>
            <w:shd w:val="clear" w:color="auto" w:fill="auto"/>
            <w:tcMar>
              <w:top w:w="100" w:type="dxa"/>
              <w:left w:w="100" w:type="dxa"/>
              <w:bottom w:w="100" w:type="dxa"/>
              <w:right w:w="100" w:type="dxa"/>
            </w:tcMar>
          </w:tcPr>
          <w:p w14:paraId="25692E98" w14:textId="77777777" w:rsidR="00DC292D" w:rsidRPr="00327BC2" w:rsidRDefault="00DC292D" w:rsidP="0041298C">
            <w:pPr>
              <w:widowControl w:val="0"/>
              <w:pBdr>
                <w:top w:val="nil"/>
                <w:left w:val="nil"/>
                <w:bottom w:val="nil"/>
                <w:right w:val="nil"/>
                <w:between w:val="nil"/>
              </w:pBdr>
              <w:spacing w:line="240" w:lineRule="auto"/>
              <w:rPr>
                <w:rFonts w:ascii="Times New Roman" w:hAnsi="Times New Roman" w:cs="Times New Roman"/>
                <w:i/>
                <w:iCs/>
                <w:sz w:val="24"/>
                <w:szCs w:val="24"/>
              </w:rPr>
            </w:pPr>
            <w:r w:rsidRPr="00327BC2">
              <w:rPr>
                <w:rFonts w:ascii="Times New Roman" w:hAnsi="Times New Roman" w:cs="Times New Roman"/>
                <w:i/>
                <w:iCs/>
                <w:sz w:val="24"/>
                <w:szCs w:val="24"/>
              </w:rPr>
              <w:t>Olgunluk Düzeyi</w:t>
            </w:r>
          </w:p>
        </w:tc>
        <w:tc>
          <w:tcPr>
            <w:tcW w:w="284" w:type="dxa"/>
            <w:tcBorders>
              <w:top w:val="nil"/>
              <w:left w:val="nil"/>
              <w:bottom w:val="nil"/>
              <w:right w:val="nil"/>
            </w:tcBorders>
            <w:shd w:val="clear" w:color="auto" w:fill="auto"/>
          </w:tcPr>
          <w:p w14:paraId="4F2D3411" w14:textId="77777777" w:rsidR="00DC292D" w:rsidRPr="00327BC2" w:rsidRDefault="00DC292D" w:rsidP="0041298C">
            <w:pPr>
              <w:widowControl w:val="0"/>
              <w:pBdr>
                <w:top w:val="nil"/>
                <w:left w:val="nil"/>
                <w:bottom w:val="nil"/>
                <w:right w:val="nil"/>
                <w:between w:val="nil"/>
              </w:pBdr>
              <w:spacing w:line="240" w:lineRule="auto"/>
              <w:rPr>
                <w:rFonts w:ascii="Times New Roman" w:hAnsi="Times New Roman" w:cs="Times New Roman"/>
                <w:i/>
                <w:iCs/>
                <w:sz w:val="24"/>
                <w:szCs w:val="24"/>
              </w:rPr>
            </w:pPr>
            <w:r w:rsidRPr="00327BC2">
              <w:rPr>
                <w:rFonts w:ascii="Times New Roman" w:hAnsi="Times New Roman" w:cs="Times New Roman"/>
                <w:i/>
                <w:iCs/>
                <w:sz w:val="24"/>
                <w:szCs w:val="24"/>
              </w:rPr>
              <w:t>:</w:t>
            </w:r>
          </w:p>
        </w:tc>
        <w:tc>
          <w:tcPr>
            <w:tcW w:w="6525" w:type="dxa"/>
            <w:tcBorders>
              <w:top w:val="nil"/>
              <w:left w:val="nil"/>
              <w:bottom w:val="nil"/>
              <w:right w:val="nil"/>
            </w:tcBorders>
            <w:shd w:val="clear" w:color="auto" w:fill="F0E22C"/>
          </w:tcPr>
          <w:p w14:paraId="14334885" w14:textId="77777777" w:rsidR="00DC292D" w:rsidRPr="00327BC2" w:rsidRDefault="00627D67" w:rsidP="0041298C">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232121156"/>
                <w:placeholder>
                  <w:docPart w:val="9060280ACA27428DAE0906D076629A5D"/>
                </w:placeholder>
                <w:showingPlcHdr/>
                <w:dropDownList>
                  <w:listItem w:value="Bir öğe seçin."/>
                  <w:listItem w:displayText="1: Kurumun araştırma ve geliştirme faaliyetlerini sürdürebilmesi için yeterli kaynağı bulunmamaktadır." w:value="1"/>
                  <w:listItem w:displayText="2: Kurumun araştırma ve geliştirme faaliyetlerini sürdürebilmek için uygun nitelik ve nicelikte fiziki, teknik ve mali kaynakların oluşturulmasına yönelik planları bulunmaktadır. " w:value="2"/>
                  <w:listItem w:displayText="3: Kurum araştırma ve geliştirme kaynaklarını araştırma stratejisi ve birimler arası dengeyi gözeterek yönetmektedir. " w:value="3"/>
                  <w:listItem w:displayText="4: Kurumda araştırma kaynaklarının yeterliliği ve çeşitliliği izlenmekte ve iyileştirilmektedir. " w:value="4"/>
                  <w:listItem w:displayText="5: İçselleştirilmiş, sistematik, sürdürülebilir ve örnek gösterilebilir uygulamalar bulunmaktadır." w:value="5"/>
                </w:dropDownList>
              </w:sdtPr>
              <w:sdtEndPr/>
              <w:sdtContent>
                <w:r w:rsidR="00DC292D" w:rsidRPr="00327BC2">
                  <w:rPr>
                    <w:rStyle w:val="YerTutucuMetni"/>
                    <w:rFonts w:ascii="Times New Roman" w:hAnsi="Times New Roman" w:cs="Times New Roman"/>
                    <w:i/>
                    <w:sz w:val="24"/>
                    <w:szCs w:val="24"/>
                  </w:rPr>
                  <w:t>Bir öğe seçin.</w:t>
                </w:r>
              </w:sdtContent>
            </w:sdt>
          </w:p>
        </w:tc>
      </w:tr>
      <w:tr w:rsidR="00DC292D" w:rsidRPr="00327BC2" w14:paraId="38E1BCFC" w14:textId="77777777" w:rsidTr="00327BC2">
        <w:trPr>
          <w:trHeight w:val="2603"/>
        </w:trPr>
        <w:tc>
          <w:tcPr>
            <w:tcW w:w="9773" w:type="dxa"/>
            <w:gridSpan w:val="4"/>
            <w:tcBorders>
              <w:top w:val="nil"/>
              <w:left w:val="nil"/>
              <w:bottom w:val="dotDash" w:sz="4" w:space="0" w:color="auto"/>
              <w:right w:val="nil"/>
            </w:tcBorders>
            <w:shd w:val="clear" w:color="auto" w:fill="auto"/>
            <w:tcMar>
              <w:top w:w="100" w:type="dxa"/>
              <w:left w:w="100" w:type="dxa"/>
              <w:bottom w:w="100" w:type="dxa"/>
              <w:right w:w="100" w:type="dxa"/>
            </w:tcMar>
          </w:tcPr>
          <w:p w14:paraId="3F3A5834" w14:textId="77777777" w:rsidR="00DC292D" w:rsidRPr="00327BC2" w:rsidRDefault="00DC292D" w:rsidP="0041298C">
            <w:pPr>
              <w:widowControl w:val="0"/>
              <w:jc w:val="both"/>
              <w:rPr>
                <w:rFonts w:ascii="Times New Roman" w:hAnsi="Times New Roman" w:cs="Times New Roman"/>
                <w:i/>
                <w:iCs/>
                <w:color w:val="B7B7B7"/>
                <w:sz w:val="24"/>
                <w:szCs w:val="24"/>
                <w:u w:val="single"/>
              </w:rPr>
            </w:pPr>
            <w:r w:rsidRPr="00327BC2">
              <w:rPr>
                <w:rFonts w:ascii="Times New Roman" w:hAnsi="Times New Roman" w:cs="Times New Roman"/>
                <w:i/>
                <w:iCs/>
                <w:color w:val="B7B7B7"/>
                <w:sz w:val="24"/>
                <w:szCs w:val="24"/>
                <w:u w:val="single"/>
              </w:rPr>
              <w:t>İYTE Kalite Yönetim Rehberi’nden</w:t>
            </w:r>
          </w:p>
          <w:p w14:paraId="275FA6B0" w14:textId="77777777" w:rsidR="00DC292D" w:rsidRPr="00327BC2" w:rsidRDefault="00DC292D"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t>Enstitünün araştırma ve geliştirme stratejisi bütünsel ve çok boyutlu olarak ele alınmış olup bu strateji doğrultusunda belirlenmiş hedeflerin gerçekleştirilmesi için araştırmacılara kurum içi ve kurum dışı bir takım destekler sağlanır ve Enstitünün sahip olduğu araştırma kaynaklarının geliştirilmesi ve çeşitlendirilmesine özen gösterilir.</w:t>
            </w:r>
          </w:p>
          <w:p w14:paraId="543868EC" w14:textId="77777777" w:rsidR="00DC292D" w:rsidRPr="00327BC2" w:rsidRDefault="00DC292D"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t>Enstitünün kurum içi araştırma kaynakları şunlardır:</w:t>
            </w:r>
          </w:p>
          <w:p w14:paraId="1CD9A306" w14:textId="77777777" w:rsidR="00DC292D" w:rsidRPr="00327BC2" w:rsidRDefault="00DC292D"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sym w:font="Symbol" w:char="F0B7"/>
            </w:r>
            <w:r w:rsidRPr="00327BC2">
              <w:rPr>
                <w:rFonts w:ascii="Times New Roman" w:hAnsi="Times New Roman" w:cs="Times New Roman"/>
                <w:color w:val="B7B7B7"/>
                <w:sz w:val="24"/>
                <w:szCs w:val="24"/>
              </w:rPr>
              <w:t xml:space="preserve"> Enstitüde araştırma süreçlerine ve çıktılarına katkı sağlayan insan gücü ve fiziksel kaynaklar, </w:t>
            </w:r>
          </w:p>
          <w:p w14:paraId="6707178D" w14:textId="77777777" w:rsidR="00DC292D" w:rsidRPr="00327BC2" w:rsidRDefault="00DC292D"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sym w:font="Symbol" w:char="F0B7"/>
            </w:r>
            <w:r w:rsidRPr="00327BC2">
              <w:rPr>
                <w:rFonts w:ascii="Times New Roman" w:hAnsi="Times New Roman" w:cs="Times New Roman"/>
                <w:color w:val="B7B7B7"/>
                <w:sz w:val="24"/>
                <w:szCs w:val="24"/>
              </w:rPr>
              <w:t xml:space="preserve"> BAP Koordinatörlüğü Yönergesi kapsamında sunulan proje destekleri, </w:t>
            </w:r>
          </w:p>
          <w:p w14:paraId="4F93A32D" w14:textId="77777777" w:rsidR="00DC292D" w:rsidRPr="00327BC2" w:rsidRDefault="00DC292D"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sym w:font="Symbol" w:char="F0B7"/>
            </w:r>
            <w:r w:rsidRPr="00327BC2">
              <w:rPr>
                <w:rFonts w:ascii="Times New Roman" w:hAnsi="Times New Roman" w:cs="Times New Roman"/>
                <w:color w:val="B7B7B7"/>
                <w:sz w:val="24"/>
                <w:szCs w:val="24"/>
              </w:rPr>
              <w:t xml:space="preserve"> TAM Direktörlüğü altında yer alan merkezler tarafından araştırmaları desteklemek amacıyla iç paydaşlara bedelsiz, dış paydaşlara indirimli olarak sağlanan ve dolayısıyla önemli miktarda cari karşılığa tekabül eden, test ve analiz hizmetleri, </w:t>
            </w:r>
          </w:p>
          <w:p w14:paraId="722C48C9" w14:textId="77777777" w:rsidR="00DC292D" w:rsidRPr="00327BC2" w:rsidRDefault="00DC292D"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sym w:font="Symbol" w:char="F0B7"/>
            </w:r>
            <w:r w:rsidRPr="00327BC2">
              <w:rPr>
                <w:rFonts w:ascii="Times New Roman" w:hAnsi="Times New Roman" w:cs="Times New Roman"/>
                <w:color w:val="B7B7B7"/>
                <w:sz w:val="24"/>
                <w:szCs w:val="24"/>
              </w:rPr>
              <w:t xml:space="preserve"> “İzmir Yüksek Teknoloji Enstitüsü TÜBİTAK ARDEB Kurum Hissesi Harcamalarına İlişkin İlke ve Esaslar” </w:t>
            </w:r>
            <w:proofErr w:type="gramStart"/>
            <w:r w:rsidRPr="00327BC2">
              <w:rPr>
                <w:rFonts w:ascii="Times New Roman" w:hAnsi="Times New Roman" w:cs="Times New Roman"/>
                <w:color w:val="B7B7B7"/>
                <w:sz w:val="24"/>
                <w:szCs w:val="24"/>
              </w:rPr>
              <w:t>ile,</w:t>
            </w:r>
            <w:proofErr w:type="gramEnd"/>
            <w:r w:rsidRPr="00327BC2">
              <w:rPr>
                <w:rFonts w:ascii="Times New Roman" w:hAnsi="Times New Roman" w:cs="Times New Roman"/>
                <w:color w:val="B7B7B7"/>
                <w:sz w:val="24"/>
                <w:szCs w:val="24"/>
              </w:rPr>
              <w:t xml:space="preserve"> kullanılmasında bilim politikası ve araştırma ve geliştirme stratejisine uygun 33 çalışmalara (cihaz alımı, mevcut cihazların bakım-onarımı, merkezlerin araştırma sarf ihtiyaçları vb.) öncelik verilen TÜBİTAK ARDEB Kurum Hissesi, </w:t>
            </w:r>
          </w:p>
          <w:p w14:paraId="6DD8EC5E" w14:textId="77777777" w:rsidR="00DC292D" w:rsidRPr="00327BC2" w:rsidRDefault="00DC292D"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sym w:font="Symbol" w:char="F0B7"/>
            </w:r>
            <w:r w:rsidRPr="00327BC2">
              <w:rPr>
                <w:rFonts w:ascii="Times New Roman" w:hAnsi="Times New Roman" w:cs="Times New Roman"/>
                <w:color w:val="B7B7B7"/>
                <w:sz w:val="24"/>
                <w:szCs w:val="24"/>
              </w:rPr>
              <w:t xml:space="preserve"> Araştırmacıların yurt içi ve yurt dışındaki konferanslara ve bilimsel etkinliklere katılımını artırabilmek amacıyla tahsis edilen ek yolluk bütçesi, </w:t>
            </w:r>
          </w:p>
          <w:p w14:paraId="6E75A9E5" w14:textId="77777777" w:rsidR="00DC292D" w:rsidRPr="00327BC2" w:rsidRDefault="00DC292D"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sym w:font="Symbol" w:char="F0B7"/>
            </w:r>
            <w:r w:rsidRPr="00327BC2">
              <w:rPr>
                <w:rFonts w:ascii="Times New Roman" w:hAnsi="Times New Roman" w:cs="Times New Roman"/>
                <w:color w:val="B7B7B7"/>
                <w:sz w:val="24"/>
                <w:szCs w:val="24"/>
              </w:rPr>
              <w:t xml:space="preserve"> Öğretim üyelerinin, belirli dönemlerdeki yıllık izinlerini kendi uzmanlık alanlarında araştırma yapmaları ve deneyim kazanmaları için yurt dışındaki seçkin üniversitelerde geçirmelerine yönelik verilen destekler, </w:t>
            </w:r>
          </w:p>
          <w:p w14:paraId="3139A9D9" w14:textId="77777777" w:rsidR="00DC292D" w:rsidRPr="00327BC2" w:rsidRDefault="00DC292D"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sym w:font="Symbol" w:char="F0B7"/>
            </w:r>
            <w:r w:rsidRPr="00327BC2">
              <w:rPr>
                <w:rFonts w:ascii="Times New Roman" w:hAnsi="Times New Roman" w:cs="Times New Roman"/>
                <w:color w:val="B7B7B7"/>
                <w:sz w:val="24"/>
                <w:szCs w:val="24"/>
              </w:rPr>
              <w:t xml:space="preserve"> Enstitüye yeni başlayan öğretim üyelerinin araştırma ekosistemine hızlı katılmalarını sağlamak amacıyla verilen başlangıç destekleri, </w:t>
            </w:r>
          </w:p>
          <w:p w14:paraId="068384F1" w14:textId="77777777" w:rsidR="00DC292D" w:rsidRPr="00327BC2" w:rsidRDefault="00DC292D"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sym w:font="Symbol" w:char="F0B7"/>
            </w:r>
            <w:r w:rsidRPr="00327BC2">
              <w:rPr>
                <w:rFonts w:ascii="Times New Roman" w:hAnsi="Times New Roman" w:cs="Times New Roman"/>
                <w:color w:val="B7B7B7"/>
                <w:sz w:val="24"/>
                <w:szCs w:val="24"/>
              </w:rPr>
              <w:t xml:space="preserve"> Öğretim üyelerinin ERASMUS programı kapsamında yararlandıkları ders verme hareketliliği destekleri, </w:t>
            </w:r>
          </w:p>
          <w:p w14:paraId="6F692DFA" w14:textId="77777777" w:rsidR="00DC292D" w:rsidRPr="00327BC2" w:rsidRDefault="00DC292D"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sym w:font="Symbol" w:char="F0B7"/>
            </w:r>
            <w:r w:rsidRPr="00327BC2">
              <w:rPr>
                <w:rFonts w:ascii="Times New Roman" w:hAnsi="Times New Roman" w:cs="Times New Roman"/>
                <w:color w:val="B7B7B7"/>
                <w:sz w:val="24"/>
                <w:szCs w:val="24"/>
              </w:rPr>
              <w:t xml:space="preserve"> Araştırma potansiyelinin geliştirilmesi için sağlanan takdir, eğitim, kılavuzluk vb. destekler, </w:t>
            </w:r>
          </w:p>
          <w:p w14:paraId="294DF0CC" w14:textId="77777777" w:rsidR="00DC292D" w:rsidRPr="00327BC2" w:rsidRDefault="00DC292D"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sym w:font="Symbol" w:char="F0B7"/>
            </w:r>
            <w:r w:rsidRPr="00327BC2">
              <w:rPr>
                <w:rFonts w:ascii="Times New Roman" w:hAnsi="Times New Roman" w:cs="Times New Roman"/>
                <w:color w:val="B7B7B7"/>
                <w:sz w:val="24"/>
                <w:szCs w:val="24"/>
              </w:rPr>
              <w:t xml:space="preserve"> Yükseköğretim Kurulu tarafından belirlenen öncelikli alanlarda doktoralı insan kaynağına olan ihtiyacı karşılamak üzere verilen YÖK Doktora Bursu, </w:t>
            </w:r>
          </w:p>
          <w:p w14:paraId="6F246588" w14:textId="77777777" w:rsidR="00DC292D" w:rsidRPr="00327BC2" w:rsidRDefault="00DC292D"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sym w:font="Symbol" w:char="F0B7"/>
            </w:r>
            <w:r w:rsidRPr="00327BC2">
              <w:rPr>
                <w:rFonts w:ascii="Times New Roman" w:hAnsi="Times New Roman" w:cs="Times New Roman"/>
                <w:color w:val="B7B7B7"/>
                <w:sz w:val="24"/>
                <w:szCs w:val="24"/>
              </w:rPr>
              <w:t xml:space="preserve"> Kütüphane ve Dokümantasyon Daire Başkanlığı tarafından sağlanan veri tabanı erişim imkânları </w:t>
            </w:r>
            <w:r w:rsidRPr="00327BC2">
              <w:rPr>
                <w:rFonts w:ascii="Times New Roman" w:hAnsi="Times New Roman" w:cs="Times New Roman"/>
                <w:color w:val="B7B7B7"/>
                <w:sz w:val="24"/>
                <w:szCs w:val="24"/>
              </w:rPr>
              <w:lastRenderedPageBreak/>
              <w:t>ve araştırmacılara sunulan akademik destek hizmetleri.</w:t>
            </w:r>
          </w:p>
          <w:p w14:paraId="7A1FB13C" w14:textId="77777777" w:rsidR="00DC292D" w:rsidRPr="00327BC2" w:rsidRDefault="00DC292D"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t>Kurum içi destekler yanında araştırmacılar, dış destekler için de teşvik edilir. Kaynakların izlenmesi, çeşitlendirilmesi ve artırılması konusunda araştırma ekosisteminde yer alan birimler eş güdümlü olarak çalışır.</w:t>
            </w:r>
          </w:p>
          <w:p w14:paraId="28302158" w14:textId="77777777" w:rsidR="00DC292D" w:rsidRPr="00327BC2" w:rsidRDefault="00DC292D"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t>Araştırmalar Direktörlüğü</w:t>
            </w:r>
          </w:p>
          <w:p w14:paraId="6C58DC68" w14:textId="77777777" w:rsidR="00DC292D" w:rsidRPr="00327BC2" w:rsidRDefault="00DC292D"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t xml:space="preserve">Enstitünün araştırma potansiyelini geliştirmek ve araştırmayı teşvik etmek için araştırmacılara projeler kapsamında destek fonları sağlanır. Ulusal ve uluslararası programlarla ilgili akademik personel Araştırmalar Direktörlüğü tarafından sürekli olarak bilgilendirilir, çeşitli seminerler ve toplantılar düzenlenir. Enstitünün Yükseköğretim Kurumu tarafından 2018-2019 yıllarından sonra Araştırma Üniversitesi sınıflandırmasına dâhil edilmesiyle “Araştırma Üniversiteleri Destekleme Programı İş Birliği Protokolü” (ADEP) kapsamında öncelikli alanlara proje destekleri verilmeye başlanmıştır. Direktörlük tarafından kurumun araştırma odak noktalarına yönelik olarak hedef program ve çağrılar belirlenerek kurum içi bilgilendirmeler yapılır, çeşitli etkinlikler düzenlenir ve araştırmacıların farkındalığı artırılmaya çalışılır. Araştırmacıları teşvik etmek için, birebir görüşme, anket gibi yöntemlerle araştırmacılara yönelik </w:t>
            </w:r>
            <w:proofErr w:type="gramStart"/>
            <w:r w:rsidRPr="00327BC2">
              <w:rPr>
                <w:rFonts w:ascii="Times New Roman" w:hAnsi="Times New Roman" w:cs="Times New Roman"/>
                <w:color w:val="B7B7B7"/>
                <w:sz w:val="24"/>
                <w:szCs w:val="24"/>
              </w:rPr>
              <w:t>spesifik</w:t>
            </w:r>
            <w:proofErr w:type="gramEnd"/>
            <w:r w:rsidRPr="00327BC2">
              <w:rPr>
                <w:rFonts w:ascii="Times New Roman" w:hAnsi="Times New Roman" w:cs="Times New Roman"/>
                <w:color w:val="B7B7B7"/>
                <w:sz w:val="24"/>
                <w:szCs w:val="24"/>
              </w:rPr>
              <w:t xml:space="preserve"> çağrılar belirlenir. İlgili yerli/yabancı üniversiteler, firmalar, belediyeler, sivil toplum kuruluşları vb. tüm paydaşlar ile sürekli iletişim halinde kalınarak yeni iş birlikleri kurulur. Kurum/akademisyen/paydaş ağları üzerinden proje çağrılarına yönelik </w:t>
            </w:r>
            <w:proofErr w:type="gramStart"/>
            <w:r w:rsidRPr="00327BC2">
              <w:rPr>
                <w:rFonts w:ascii="Times New Roman" w:hAnsi="Times New Roman" w:cs="Times New Roman"/>
                <w:color w:val="B7B7B7"/>
                <w:sz w:val="24"/>
                <w:szCs w:val="24"/>
              </w:rPr>
              <w:t>konsorsiyumlar</w:t>
            </w:r>
            <w:proofErr w:type="gramEnd"/>
            <w:r w:rsidRPr="00327BC2">
              <w:rPr>
                <w:rFonts w:ascii="Times New Roman" w:hAnsi="Times New Roman" w:cs="Times New Roman"/>
                <w:color w:val="B7B7B7"/>
                <w:sz w:val="24"/>
                <w:szCs w:val="24"/>
              </w:rPr>
              <w:t xml:space="preserve"> kurulur veya mevcut konsorsiyumların parçası olunur. TÜBİTAK’ın sağladığı tüm destek ve teşvik programları hakkında bilgilendirme yapılır ve bu desteklerden azami oranda yararlanılması sağlanır. Ortaya çıkan başarı hikâyeleri Enstitünün tüm iletişim kanallarından paylaşılarak yeni proje başvurularının teşvik edilmesi desteklenir.</w:t>
            </w:r>
          </w:p>
          <w:p w14:paraId="1AA0AC72" w14:textId="77777777" w:rsidR="00DC292D" w:rsidRPr="00327BC2" w:rsidRDefault="00DC292D"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t>TAM Direktörlüğü ve Araştırma Merkezleri</w:t>
            </w:r>
          </w:p>
          <w:p w14:paraId="45515CC8" w14:textId="77777777" w:rsidR="00DC292D" w:rsidRPr="00327BC2" w:rsidRDefault="00DC292D"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t>Enstitüde uygulama ve araştırma merkezleri, ilgili dış mevzuat doğrultusunda kurulur ve TAM bünyesinde hizmet gösterir. Merkezlerde bulunan cihazlar, araştırmacılar ve hizmetler ekosistemin kaynak girdilerini çeşitlendirir. TAM Direktörlüğü kapsamında sunulan test ve analiz hizmetleri, bu hizmetler için sağlanan indirimler, öncelikler gibi olanaklar “TAM Test ve Analiz Hizmetleri Yönergesi” ile kurumsal ilkelere bağlanmış ve güvence altına alınmıştır. Yönerge direktörlüğün internet sayfasında 34 bulundurularak iç ve dış tüm kullanıcıların TAM hizmetlerinden ne şekilde ve nasıl yararlanabilecekleri şeffaf bir şekilde kamuoyuyla paylaşılır.</w:t>
            </w:r>
          </w:p>
          <w:p w14:paraId="33945279" w14:textId="77777777" w:rsidR="00DC292D" w:rsidRPr="00327BC2" w:rsidRDefault="00DC292D" w:rsidP="0041298C">
            <w:pPr>
              <w:widowControl w:val="0"/>
              <w:spacing w:before="240" w:after="240"/>
              <w:jc w:val="both"/>
              <w:rPr>
                <w:rFonts w:ascii="Times New Roman" w:hAnsi="Times New Roman" w:cs="Times New Roman"/>
                <w:color w:val="B7B7B7"/>
                <w:sz w:val="24"/>
                <w:szCs w:val="24"/>
              </w:rPr>
            </w:pPr>
            <w:proofErr w:type="spellStart"/>
            <w:r w:rsidRPr="00327BC2">
              <w:rPr>
                <w:rFonts w:ascii="Times New Roman" w:hAnsi="Times New Roman" w:cs="Times New Roman"/>
                <w:color w:val="B7B7B7"/>
                <w:sz w:val="24"/>
                <w:szCs w:val="24"/>
              </w:rPr>
              <w:t>İYTE’de</w:t>
            </w:r>
            <w:proofErr w:type="spellEnd"/>
            <w:r w:rsidRPr="00327BC2">
              <w:rPr>
                <w:rFonts w:ascii="Times New Roman" w:hAnsi="Times New Roman" w:cs="Times New Roman"/>
                <w:color w:val="B7B7B7"/>
                <w:sz w:val="24"/>
                <w:szCs w:val="24"/>
              </w:rPr>
              <w:t xml:space="preserve"> araştırmacıların potansiyellerini en iyi şekilde ortaya koymalarını teşvik edecek bir uygulama da, İYTE Araştırma politikasında vurgulanan “insan kaynağını ve desteklerini sürekli olarak iyileştirecek ve en üst düzeyde tutacak bir </w:t>
            </w:r>
            <w:proofErr w:type="spellStart"/>
            <w:r w:rsidRPr="00327BC2">
              <w:rPr>
                <w:rFonts w:ascii="Times New Roman" w:hAnsi="Times New Roman" w:cs="Times New Roman"/>
                <w:color w:val="B7B7B7"/>
                <w:sz w:val="24"/>
                <w:szCs w:val="24"/>
              </w:rPr>
              <w:t>anlayış”la</w:t>
            </w:r>
            <w:proofErr w:type="spellEnd"/>
            <w:r w:rsidRPr="00327BC2">
              <w:rPr>
                <w:rFonts w:ascii="Times New Roman" w:hAnsi="Times New Roman" w:cs="Times New Roman"/>
                <w:color w:val="B7B7B7"/>
                <w:sz w:val="24"/>
                <w:szCs w:val="24"/>
              </w:rPr>
              <w:t xml:space="preserve"> kuruma özgü bir uygulama olarak geliştirilen TAM kredileridir (araştırma kredisi ve ders kredisi). Her yılsonunda, öğretim üyelerine, bir önceki yılın teşvik puanları, lisansüstü öğrenci sayıları, vb. ölçütler bazında nakit eşdeğeri bir araştırma kredisi tanımlanır ve araştırmacılar bu kredi üzerinden TAM test ve analiz hizmetlerine EAS-e-TAM üzerinden ücretsiz ulaşabilir. </w:t>
            </w:r>
            <w:proofErr w:type="gramStart"/>
            <w:r w:rsidRPr="00327BC2">
              <w:rPr>
                <w:rFonts w:ascii="Times New Roman" w:hAnsi="Times New Roman" w:cs="Times New Roman"/>
                <w:color w:val="B7B7B7"/>
                <w:sz w:val="24"/>
                <w:szCs w:val="24"/>
              </w:rPr>
              <w:t xml:space="preserve">Araştırma kaynaklarının etkinliği, yeterliliği, gelişime açık yanları ve beklentileri karşılama düzeyinin sürekli olarak geliştirilmesini sağlamak adına araştırmacılara verilecek TAM araştırma kredisinin üst sınırları, EAS-e-TAM istatistikleri </w:t>
            </w:r>
            <w:r w:rsidRPr="00327BC2">
              <w:rPr>
                <w:rFonts w:ascii="Times New Roman" w:hAnsi="Times New Roman" w:cs="Times New Roman"/>
                <w:color w:val="B7B7B7"/>
                <w:sz w:val="24"/>
                <w:szCs w:val="24"/>
              </w:rPr>
              <w:lastRenderedPageBreak/>
              <w:t xml:space="preserve">doğrultusunda, tüm merkez kurullarının ortak iradesi sonucu ortaya çıkan analiz fiyatlarındaki artışlar göz önüne alınarak TAM Yönetim Kurulu tarafından belirlenir, Enstitü Yönetim Kurulunda onaylandıktan sonra uygulanır. </w:t>
            </w:r>
            <w:proofErr w:type="gramEnd"/>
            <w:r w:rsidRPr="00327BC2">
              <w:rPr>
                <w:rFonts w:ascii="Times New Roman" w:hAnsi="Times New Roman" w:cs="Times New Roman"/>
                <w:color w:val="B7B7B7"/>
                <w:sz w:val="24"/>
                <w:szCs w:val="24"/>
              </w:rPr>
              <w:t>Öğretim üyelerine talep etmeleri halinde gerekçeleri uygun bulunduğu takdirde, Enstitü Yönetim Kurulunun onayıyla limit üstü kredi sağlanabilir. Çalıştırılan bu sürekli iyileştirme döngüsü sayesinde araştırmacılar, TAM araştırma kredisi kullanımında, araştırmalarının sürdürülebilirlikleri açısından merkezlerdeki yıllık fiyat artışlarının etkisinden korunur.</w:t>
            </w:r>
          </w:p>
          <w:p w14:paraId="78242934" w14:textId="77777777" w:rsidR="00DC292D" w:rsidRPr="00327BC2" w:rsidRDefault="00DC292D"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t>TAM bünyesinde bulunan merkezlerin lisans ya da lisansüstü derslere sağladığı eğitime yönelik test ve analiz hizmetlerini organize etmek amacıyla akademisyenlere TAM Ders Kredisi adı altında bir eğitim desteği sağlanır. TAM Direktörlüğü her dönem öncesinde dekanlıklar vasıtasıyla bölümlerden ihtiyaçları olan TAM Ders Kredisi taleplerini toplar, gelen talepler talebe konu merkez müdürü ile dersin öğretim üyesi arasında yapılan görüşmelerde karara bağlanır ve TAM Yönetim Kurulunun onayı ile dönem bazında öğretim üyelerine TAM Ders Kredisi tanımlanır. Bu krediler, EAS-e-TAM uygulaması kapsamında kullanılır ve izlenir. TAM kredisi sistemi, Enstitüdeki test ve analiz faaliyetlerini izlenebilir duruma getirerek kayıtsız test ve analiz yapılmasının önüne geçilmesini sağlar.</w:t>
            </w:r>
          </w:p>
          <w:p w14:paraId="3A50B799" w14:textId="77777777" w:rsidR="00DC292D" w:rsidRPr="00327BC2" w:rsidRDefault="00DC292D"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t>Direktörlük Enstitüdeki araştırmalara destek sağladığı gibi, dış kaynakların TAM hizmetlerini kullanmasını teşvik ederek dış araştırmalara da destek sağlar. Bu destek, merkezlerin sunduğu analiz ve test hizmetlerine yönelik belirli kullanıcı gruplarına indirimler şeklinde sağlanır. Tam indirimleri TAM Yönetim Kurulu tarafından belirlenerek Enstitü Yönetim Kurulunda onaylandıktan sonra uygulanır. İndirim oranları değişene kadar mevcut oranlar uygulanmaya devam eder.</w:t>
            </w:r>
          </w:p>
          <w:p w14:paraId="33F561C5" w14:textId="77777777" w:rsidR="00DC292D" w:rsidRPr="00327BC2" w:rsidRDefault="00DC292D"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t>Direktörlük yönetiminde kullanılan ve araştırmacılara sağlanan kaynaklar, faaliyet raporları aracılığıyla izlenir (</w:t>
            </w:r>
            <w:proofErr w:type="spellStart"/>
            <w:r w:rsidRPr="00327BC2">
              <w:rPr>
                <w:rFonts w:ascii="Times New Roman" w:hAnsi="Times New Roman" w:cs="Times New Roman"/>
                <w:color w:val="B7B7B7"/>
                <w:sz w:val="24"/>
                <w:szCs w:val="24"/>
              </w:rPr>
              <w:t>TAM_raporlar</w:t>
            </w:r>
            <w:proofErr w:type="spellEnd"/>
            <w:r w:rsidRPr="00327BC2">
              <w:rPr>
                <w:rFonts w:ascii="Times New Roman" w:hAnsi="Times New Roman" w:cs="Times New Roman"/>
                <w:color w:val="B7B7B7"/>
                <w:sz w:val="24"/>
                <w:szCs w:val="24"/>
              </w:rPr>
              <w:t xml:space="preserve">). TAM Faaliyet raporunda her merkez tarafından ayrı ayrı verilen cihaz, kullanım, sarf, bakım, onarım gibi bütçe gelir ve giderleri bir araya getirilir ve TAM bünyesindeki tüm merkezlere ait ortak gelir gider tablosu ile </w:t>
            </w:r>
            <w:proofErr w:type="spellStart"/>
            <w:r w:rsidRPr="00327BC2">
              <w:rPr>
                <w:rFonts w:ascii="Times New Roman" w:hAnsi="Times New Roman" w:cs="Times New Roman"/>
                <w:color w:val="B7B7B7"/>
                <w:sz w:val="24"/>
                <w:szCs w:val="24"/>
              </w:rPr>
              <w:t>TAM’da</w:t>
            </w:r>
            <w:proofErr w:type="spellEnd"/>
            <w:r w:rsidRPr="00327BC2">
              <w:rPr>
                <w:rFonts w:ascii="Times New Roman" w:hAnsi="Times New Roman" w:cs="Times New Roman"/>
                <w:color w:val="B7B7B7"/>
                <w:sz w:val="24"/>
                <w:szCs w:val="24"/>
              </w:rPr>
              <w:t xml:space="preserve"> verilen hizmetlerin TAM Kredisi ve cari döner sermaye getirisi dağılımları hazırlanır. Yılsonu faaliyet raporlarında bu kıyaslamaların yapılabilmesi, hangi alanlara açılım yapılması gerektiği, mevcut ve yeni araştırma alanları için gerekli altyapı ve sarf imkânlarının oluşturulması ve bunlar için iç ve dış kaynakların temini konularında gerekli stratejilerin belirlenmesini sağlar.</w:t>
            </w:r>
          </w:p>
          <w:p w14:paraId="347551E3" w14:textId="77777777" w:rsidR="00DC292D" w:rsidRPr="00327BC2" w:rsidRDefault="00DC292D"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t>Kütüphane ve Dokümantasyon Daire Başkanlığı</w:t>
            </w:r>
          </w:p>
          <w:p w14:paraId="312F989C" w14:textId="77777777" w:rsidR="00DC292D" w:rsidRPr="00327BC2" w:rsidRDefault="00DC292D"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t>Kütüphane ve Dokümantasyon Daire Başkanlığı (KPDD), araştırmacılara akademik destek hizmetleri sunar. Enstitünün ve araştırmacıların evrensel bilime katkısı ve uluslararası yayın sıralamasındaki yerlerinin belirlenmesi amacıyla bibliyometrik analizler yapılır. Araştırmacılara veri yönetim süreçlerinde e-posta, telefon veya yüz yüze destek verilir ve veri yönetim planları gözden geçirilerek 35 önerilerde bulunulur. Firmalar tarafından açık erişim yayın yapma konusunda düzenlenen eğitimlere/çalıştaylara ve erişim hakkı edinilen veri tabanlarına ilişkin bilgilendirmeler yapılır. KPDD internet sitesi üzerinden bu etkinliklere ilişkin duyurular yayınlanır ve e-posta aracılığıyla kurum içi duyurular yapılır.</w:t>
            </w:r>
          </w:p>
          <w:p w14:paraId="5CDF42E8" w14:textId="77777777" w:rsidR="00DC292D" w:rsidRPr="00327BC2" w:rsidRDefault="00DC292D"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lastRenderedPageBreak/>
              <w:t>Kütüphane ve Dokümantasyon Daire Başkanlığı tarafından hazırlanan aşağıdaki rehberler araştırmacıların faydalanması için erişime açık olarak bulundurulmaktadır:</w:t>
            </w:r>
          </w:p>
          <w:p w14:paraId="697AF0C9" w14:textId="77777777" w:rsidR="00DC292D" w:rsidRPr="00327BC2" w:rsidRDefault="00DC292D"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sym w:font="Symbol" w:char="F0B7"/>
            </w:r>
            <w:r w:rsidRPr="00327BC2">
              <w:rPr>
                <w:rFonts w:ascii="Times New Roman" w:hAnsi="Times New Roman" w:cs="Times New Roman"/>
                <w:color w:val="B7B7B7"/>
                <w:sz w:val="24"/>
                <w:szCs w:val="24"/>
              </w:rPr>
              <w:t xml:space="preserve"> Araştırmacıların GCRIS </w:t>
            </w:r>
            <w:proofErr w:type="gramStart"/>
            <w:r w:rsidRPr="00327BC2">
              <w:rPr>
                <w:rFonts w:ascii="Times New Roman" w:hAnsi="Times New Roman" w:cs="Times New Roman"/>
                <w:color w:val="B7B7B7"/>
                <w:sz w:val="24"/>
                <w:szCs w:val="24"/>
              </w:rPr>
              <w:t>profillerini</w:t>
            </w:r>
            <w:proofErr w:type="gramEnd"/>
            <w:r w:rsidRPr="00327BC2">
              <w:rPr>
                <w:rFonts w:ascii="Times New Roman" w:hAnsi="Times New Roman" w:cs="Times New Roman"/>
                <w:color w:val="B7B7B7"/>
                <w:sz w:val="24"/>
                <w:szCs w:val="24"/>
              </w:rPr>
              <w:t xml:space="preserve"> nasıl güncellemeleri gerektiği ve ORCID, </w:t>
            </w:r>
            <w:proofErr w:type="spellStart"/>
            <w:r w:rsidRPr="00327BC2">
              <w:rPr>
                <w:rFonts w:ascii="Times New Roman" w:hAnsi="Times New Roman" w:cs="Times New Roman"/>
                <w:color w:val="B7B7B7"/>
                <w:sz w:val="24"/>
                <w:szCs w:val="24"/>
              </w:rPr>
              <w:t>Scopus</w:t>
            </w:r>
            <w:proofErr w:type="spellEnd"/>
            <w:r w:rsidRPr="00327BC2">
              <w:rPr>
                <w:rFonts w:ascii="Times New Roman" w:hAnsi="Times New Roman" w:cs="Times New Roman"/>
                <w:color w:val="B7B7B7"/>
                <w:sz w:val="24"/>
                <w:szCs w:val="24"/>
              </w:rPr>
              <w:t xml:space="preserve"> ID, </w:t>
            </w:r>
            <w:proofErr w:type="spellStart"/>
            <w:r w:rsidRPr="00327BC2">
              <w:rPr>
                <w:rFonts w:ascii="Times New Roman" w:hAnsi="Times New Roman" w:cs="Times New Roman"/>
                <w:color w:val="B7B7B7"/>
                <w:sz w:val="24"/>
                <w:szCs w:val="24"/>
              </w:rPr>
              <w:t>WoS</w:t>
            </w:r>
            <w:proofErr w:type="spellEnd"/>
            <w:r w:rsidRPr="00327BC2">
              <w:rPr>
                <w:rFonts w:ascii="Times New Roman" w:hAnsi="Times New Roman" w:cs="Times New Roman"/>
                <w:color w:val="B7B7B7"/>
                <w:sz w:val="24"/>
                <w:szCs w:val="24"/>
              </w:rPr>
              <w:t xml:space="preserve"> </w:t>
            </w:r>
            <w:proofErr w:type="spellStart"/>
            <w:r w:rsidRPr="00327BC2">
              <w:rPr>
                <w:rFonts w:ascii="Times New Roman" w:hAnsi="Times New Roman" w:cs="Times New Roman"/>
                <w:color w:val="B7B7B7"/>
                <w:sz w:val="24"/>
                <w:szCs w:val="24"/>
              </w:rPr>
              <w:t>Resercher</w:t>
            </w:r>
            <w:proofErr w:type="spellEnd"/>
            <w:r w:rsidRPr="00327BC2">
              <w:rPr>
                <w:rFonts w:ascii="Times New Roman" w:hAnsi="Times New Roman" w:cs="Times New Roman"/>
                <w:color w:val="B7B7B7"/>
                <w:sz w:val="24"/>
                <w:szCs w:val="24"/>
              </w:rPr>
              <w:t xml:space="preserve"> ID ve Google </w:t>
            </w:r>
            <w:proofErr w:type="spellStart"/>
            <w:r w:rsidRPr="00327BC2">
              <w:rPr>
                <w:rFonts w:ascii="Times New Roman" w:hAnsi="Times New Roman" w:cs="Times New Roman"/>
                <w:color w:val="B7B7B7"/>
                <w:sz w:val="24"/>
                <w:szCs w:val="24"/>
              </w:rPr>
              <w:t>Scholar</w:t>
            </w:r>
            <w:proofErr w:type="spellEnd"/>
            <w:r w:rsidRPr="00327BC2">
              <w:rPr>
                <w:rFonts w:ascii="Times New Roman" w:hAnsi="Times New Roman" w:cs="Times New Roman"/>
                <w:color w:val="B7B7B7"/>
                <w:sz w:val="24"/>
                <w:szCs w:val="24"/>
              </w:rPr>
              <w:t xml:space="preserve"> profillerine nasıl ulaşabileceklerini detaylı olarak anlatan rehberler (GCRIS; ORCID; </w:t>
            </w:r>
            <w:proofErr w:type="spellStart"/>
            <w:r w:rsidRPr="00327BC2">
              <w:rPr>
                <w:rFonts w:ascii="Times New Roman" w:hAnsi="Times New Roman" w:cs="Times New Roman"/>
                <w:color w:val="B7B7B7"/>
                <w:sz w:val="24"/>
                <w:szCs w:val="24"/>
              </w:rPr>
              <w:t>Scopus</w:t>
            </w:r>
            <w:proofErr w:type="spellEnd"/>
            <w:r w:rsidRPr="00327BC2">
              <w:rPr>
                <w:rFonts w:ascii="Times New Roman" w:hAnsi="Times New Roman" w:cs="Times New Roman"/>
                <w:color w:val="B7B7B7"/>
                <w:sz w:val="24"/>
                <w:szCs w:val="24"/>
              </w:rPr>
              <w:t xml:space="preserve"> ID; </w:t>
            </w:r>
            <w:proofErr w:type="spellStart"/>
            <w:r w:rsidRPr="00327BC2">
              <w:rPr>
                <w:rFonts w:ascii="Times New Roman" w:hAnsi="Times New Roman" w:cs="Times New Roman"/>
                <w:color w:val="B7B7B7"/>
                <w:sz w:val="24"/>
                <w:szCs w:val="24"/>
              </w:rPr>
              <w:t>WoS</w:t>
            </w:r>
            <w:proofErr w:type="spellEnd"/>
            <w:r w:rsidRPr="00327BC2">
              <w:rPr>
                <w:rFonts w:ascii="Times New Roman" w:hAnsi="Times New Roman" w:cs="Times New Roman"/>
                <w:color w:val="B7B7B7"/>
                <w:sz w:val="24"/>
                <w:szCs w:val="24"/>
              </w:rPr>
              <w:t xml:space="preserve"> </w:t>
            </w:r>
            <w:proofErr w:type="spellStart"/>
            <w:r w:rsidRPr="00327BC2">
              <w:rPr>
                <w:rFonts w:ascii="Times New Roman" w:hAnsi="Times New Roman" w:cs="Times New Roman"/>
                <w:color w:val="B7B7B7"/>
                <w:sz w:val="24"/>
                <w:szCs w:val="24"/>
              </w:rPr>
              <w:t>Resercher</w:t>
            </w:r>
            <w:proofErr w:type="spellEnd"/>
            <w:r w:rsidRPr="00327BC2">
              <w:rPr>
                <w:rFonts w:ascii="Times New Roman" w:hAnsi="Times New Roman" w:cs="Times New Roman"/>
                <w:color w:val="B7B7B7"/>
                <w:sz w:val="24"/>
                <w:szCs w:val="24"/>
              </w:rPr>
              <w:t xml:space="preserve"> ID; Google </w:t>
            </w:r>
            <w:proofErr w:type="spellStart"/>
            <w:r w:rsidRPr="00327BC2">
              <w:rPr>
                <w:rFonts w:ascii="Times New Roman" w:hAnsi="Times New Roman" w:cs="Times New Roman"/>
                <w:color w:val="B7B7B7"/>
                <w:sz w:val="24"/>
                <w:szCs w:val="24"/>
              </w:rPr>
              <w:t>Scholar</w:t>
            </w:r>
            <w:proofErr w:type="spellEnd"/>
            <w:r w:rsidRPr="00327BC2">
              <w:rPr>
                <w:rFonts w:ascii="Times New Roman" w:hAnsi="Times New Roman" w:cs="Times New Roman"/>
                <w:color w:val="B7B7B7"/>
                <w:sz w:val="24"/>
                <w:szCs w:val="24"/>
              </w:rPr>
              <w:t xml:space="preserve">) </w:t>
            </w:r>
          </w:p>
          <w:p w14:paraId="0302070D" w14:textId="77777777" w:rsidR="00DC292D" w:rsidRPr="00327BC2" w:rsidRDefault="00DC292D"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sym w:font="Symbol" w:char="F0B7"/>
            </w:r>
            <w:r w:rsidRPr="00327BC2">
              <w:rPr>
                <w:rFonts w:ascii="Times New Roman" w:hAnsi="Times New Roman" w:cs="Times New Roman"/>
                <w:color w:val="B7B7B7"/>
                <w:sz w:val="24"/>
                <w:szCs w:val="24"/>
              </w:rPr>
              <w:t xml:space="preserve"> </w:t>
            </w:r>
            <w:proofErr w:type="spellStart"/>
            <w:r w:rsidRPr="00327BC2">
              <w:rPr>
                <w:rFonts w:ascii="Times New Roman" w:hAnsi="Times New Roman" w:cs="Times New Roman"/>
                <w:color w:val="B7B7B7"/>
                <w:sz w:val="24"/>
                <w:szCs w:val="24"/>
              </w:rPr>
              <w:t>Academic</w:t>
            </w:r>
            <w:proofErr w:type="spellEnd"/>
            <w:r w:rsidRPr="00327BC2">
              <w:rPr>
                <w:rFonts w:ascii="Times New Roman" w:hAnsi="Times New Roman" w:cs="Times New Roman"/>
                <w:color w:val="B7B7B7"/>
                <w:sz w:val="24"/>
                <w:szCs w:val="24"/>
              </w:rPr>
              <w:t xml:space="preserve"> </w:t>
            </w:r>
            <w:proofErr w:type="spellStart"/>
            <w:r w:rsidRPr="00327BC2">
              <w:rPr>
                <w:rFonts w:ascii="Times New Roman" w:hAnsi="Times New Roman" w:cs="Times New Roman"/>
                <w:color w:val="B7B7B7"/>
                <w:sz w:val="24"/>
                <w:szCs w:val="24"/>
              </w:rPr>
              <w:t>Writing</w:t>
            </w:r>
            <w:proofErr w:type="spellEnd"/>
            <w:r w:rsidRPr="00327BC2">
              <w:rPr>
                <w:rFonts w:ascii="Times New Roman" w:hAnsi="Times New Roman" w:cs="Times New Roman"/>
                <w:color w:val="B7B7B7"/>
                <w:sz w:val="24"/>
                <w:szCs w:val="24"/>
              </w:rPr>
              <w:t xml:space="preserve"> </w:t>
            </w:r>
            <w:proofErr w:type="spellStart"/>
            <w:r w:rsidRPr="00327BC2">
              <w:rPr>
                <w:rFonts w:ascii="Times New Roman" w:hAnsi="Times New Roman" w:cs="Times New Roman"/>
                <w:color w:val="B7B7B7"/>
                <w:sz w:val="24"/>
                <w:szCs w:val="24"/>
              </w:rPr>
              <w:t>and</w:t>
            </w:r>
            <w:proofErr w:type="spellEnd"/>
            <w:r w:rsidRPr="00327BC2">
              <w:rPr>
                <w:rFonts w:ascii="Times New Roman" w:hAnsi="Times New Roman" w:cs="Times New Roman"/>
                <w:color w:val="B7B7B7"/>
                <w:sz w:val="24"/>
                <w:szCs w:val="24"/>
              </w:rPr>
              <w:t xml:space="preserve"> </w:t>
            </w:r>
            <w:proofErr w:type="spellStart"/>
            <w:r w:rsidRPr="00327BC2">
              <w:rPr>
                <w:rFonts w:ascii="Times New Roman" w:hAnsi="Times New Roman" w:cs="Times New Roman"/>
                <w:color w:val="B7B7B7"/>
                <w:sz w:val="24"/>
                <w:szCs w:val="24"/>
              </w:rPr>
              <w:t>Referencing</w:t>
            </w:r>
            <w:proofErr w:type="spellEnd"/>
            <w:r w:rsidRPr="00327BC2">
              <w:rPr>
                <w:rFonts w:ascii="Times New Roman" w:hAnsi="Times New Roman" w:cs="Times New Roman"/>
                <w:color w:val="B7B7B7"/>
                <w:sz w:val="24"/>
                <w:szCs w:val="24"/>
              </w:rPr>
              <w:t xml:space="preserve"> Style </w:t>
            </w:r>
          </w:p>
          <w:p w14:paraId="2EC4FA9C" w14:textId="77777777" w:rsidR="00DC292D" w:rsidRPr="00327BC2" w:rsidRDefault="00DC292D"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sym w:font="Symbol" w:char="F0B7"/>
            </w:r>
            <w:r w:rsidRPr="00327BC2">
              <w:rPr>
                <w:rFonts w:ascii="Times New Roman" w:hAnsi="Times New Roman" w:cs="Times New Roman"/>
                <w:color w:val="B7B7B7"/>
                <w:sz w:val="24"/>
                <w:szCs w:val="24"/>
              </w:rPr>
              <w:t xml:space="preserve"> </w:t>
            </w:r>
            <w:proofErr w:type="spellStart"/>
            <w:r w:rsidRPr="00327BC2">
              <w:rPr>
                <w:rFonts w:ascii="Times New Roman" w:hAnsi="Times New Roman" w:cs="Times New Roman"/>
                <w:color w:val="B7B7B7"/>
                <w:sz w:val="24"/>
                <w:szCs w:val="24"/>
              </w:rPr>
              <w:t>Choosing</w:t>
            </w:r>
            <w:proofErr w:type="spellEnd"/>
            <w:r w:rsidRPr="00327BC2">
              <w:rPr>
                <w:rFonts w:ascii="Times New Roman" w:hAnsi="Times New Roman" w:cs="Times New Roman"/>
                <w:color w:val="B7B7B7"/>
                <w:sz w:val="24"/>
                <w:szCs w:val="24"/>
              </w:rPr>
              <w:t xml:space="preserve"> Right </w:t>
            </w:r>
            <w:proofErr w:type="spellStart"/>
            <w:r w:rsidRPr="00327BC2">
              <w:rPr>
                <w:rFonts w:ascii="Times New Roman" w:hAnsi="Times New Roman" w:cs="Times New Roman"/>
                <w:color w:val="B7B7B7"/>
                <w:sz w:val="24"/>
                <w:szCs w:val="24"/>
              </w:rPr>
              <w:t>Journals</w:t>
            </w:r>
            <w:proofErr w:type="spellEnd"/>
            <w:r w:rsidRPr="00327BC2">
              <w:rPr>
                <w:rFonts w:ascii="Times New Roman" w:hAnsi="Times New Roman" w:cs="Times New Roman"/>
                <w:color w:val="B7B7B7"/>
                <w:sz w:val="24"/>
                <w:szCs w:val="24"/>
              </w:rPr>
              <w:t xml:space="preserve"> </w:t>
            </w:r>
            <w:r w:rsidRPr="00327BC2">
              <w:rPr>
                <w:rFonts w:ascii="Times New Roman" w:hAnsi="Times New Roman" w:cs="Times New Roman"/>
                <w:color w:val="B7B7B7"/>
                <w:sz w:val="24"/>
                <w:szCs w:val="24"/>
              </w:rPr>
              <w:sym w:font="Symbol" w:char="F0B7"/>
            </w:r>
            <w:r w:rsidRPr="00327BC2">
              <w:rPr>
                <w:rFonts w:ascii="Times New Roman" w:hAnsi="Times New Roman" w:cs="Times New Roman"/>
                <w:color w:val="B7B7B7"/>
                <w:sz w:val="24"/>
                <w:szCs w:val="24"/>
              </w:rPr>
              <w:t xml:space="preserve"> </w:t>
            </w:r>
            <w:proofErr w:type="spellStart"/>
            <w:r w:rsidRPr="00327BC2">
              <w:rPr>
                <w:rFonts w:ascii="Times New Roman" w:hAnsi="Times New Roman" w:cs="Times New Roman"/>
                <w:color w:val="B7B7B7"/>
                <w:sz w:val="24"/>
                <w:szCs w:val="24"/>
              </w:rPr>
              <w:t>Different</w:t>
            </w:r>
            <w:proofErr w:type="spellEnd"/>
            <w:r w:rsidRPr="00327BC2">
              <w:rPr>
                <w:rFonts w:ascii="Times New Roman" w:hAnsi="Times New Roman" w:cs="Times New Roman"/>
                <w:color w:val="B7B7B7"/>
                <w:sz w:val="24"/>
                <w:szCs w:val="24"/>
              </w:rPr>
              <w:t xml:space="preserve"> Access </w:t>
            </w:r>
            <w:proofErr w:type="spellStart"/>
            <w:r w:rsidRPr="00327BC2">
              <w:rPr>
                <w:rFonts w:ascii="Times New Roman" w:hAnsi="Times New Roman" w:cs="Times New Roman"/>
                <w:color w:val="B7B7B7"/>
                <w:sz w:val="24"/>
                <w:szCs w:val="24"/>
              </w:rPr>
              <w:t>to</w:t>
            </w:r>
            <w:proofErr w:type="spellEnd"/>
            <w:r w:rsidRPr="00327BC2">
              <w:rPr>
                <w:rFonts w:ascii="Times New Roman" w:hAnsi="Times New Roman" w:cs="Times New Roman"/>
                <w:color w:val="B7B7B7"/>
                <w:sz w:val="24"/>
                <w:szCs w:val="24"/>
              </w:rPr>
              <w:t xml:space="preserve"> </w:t>
            </w:r>
            <w:proofErr w:type="spellStart"/>
            <w:r w:rsidRPr="00327BC2">
              <w:rPr>
                <w:rFonts w:ascii="Times New Roman" w:hAnsi="Times New Roman" w:cs="Times New Roman"/>
                <w:color w:val="B7B7B7"/>
                <w:sz w:val="24"/>
                <w:szCs w:val="24"/>
              </w:rPr>
              <w:t>Articles</w:t>
            </w:r>
            <w:proofErr w:type="spellEnd"/>
            <w:r w:rsidRPr="00327BC2">
              <w:rPr>
                <w:rFonts w:ascii="Times New Roman" w:hAnsi="Times New Roman" w:cs="Times New Roman"/>
                <w:color w:val="B7B7B7"/>
                <w:sz w:val="24"/>
                <w:szCs w:val="24"/>
              </w:rPr>
              <w:t xml:space="preserve"> </w:t>
            </w:r>
          </w:p>
          <w:p w14:paraId="034DCD32" w14:textId="77777777" w:rsidR="00DC292D" w:rsidRPr="00327BC2" w:rsidRDefault="00DC292D"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sym w:font="Symbol" w:char="F0B7"/>
            </w:r>
            <w:r w:rsidRPr="00327BC2">
              <w:rPr>
                <w:rFonts w:ascii="Times New Roman" w:hAnsi="Times New Roman" w:cs="Times New Roman"/>
                <w:color w:val="B7B7B7"/>
                <w:sz w:val="24"/>
                <w:szCs w:val="24"/>
              </w:rPr>
              <w:t xml:space="preserve"> How </w:t>
            </w:r>
            <w:proofErr w:type="spellStart"/>
            <w:r w:rsidRPr="00327BC2">
              <w:rPr>
                <w:rFonts w:ascii="Times New Roman" w:hAnsi="Times New Roman" w:cs="Times New Roman"/>
                <w:color w:val="B7B7B7"/>
                <w:sz w:val="24"/>
                <w:szCs w:val="24"/>
              </w:rPr>
              <w:t>to</w:t>
            </w:r>
            <w:proofErr w:type="spellEnd"/>
            <w:r w:rsidRPr="00327BC2">
              <w:rPr>
                <w:rFonts w:ascii="Times New Roman" w:hAnsi="Times New Roman" w:cs="Times New Roman"/>
                <w:color w:val="B7B7B7"/>
                <w:sz w:val="24"/>
                <w:szCs w:val="24"/>
              </w:rPr>
              <w:t xml:space="preserve"> </w:t>
            </w:r>
            <w:proofErr w:type="spellStart"/>
            <w:r w:rsidRPr="00327BC2">
              <w:rPr>
                <w:rFonts w:ascii="Times New Roman" w:hAnsi="Times New Roman" w:cs="Times New Roman"/>
                <w:color w:val="B7B7B7"/>
                <w:sz w:val="24"/>
                <w:szCs w:val="24"/>
              </w:rPr>
              <w:t>increase</w:t>
            </w:r>
            <w:proofErr w:type="spellEnd"/>
            <w:r w:rsidRPr="00327BC2">
              <w:rPr>
                <w:rFonts w:ascii="Times New Roman" w:hAnsi="Times New Roman" w:cs="Times New Roman"/>
                <w:color w:val="B7B7B7"/>
                <w:sz w:val="24"/>
                <w:szCs w:val="24"/>
              </w:rPr>
              <w:t xml:space="preserve"> </w:t>
            </w:r>
            <w:proofErr w:type="spellStart"/>
            <w:r w:rsidRPr="00327BC2">
              <w:rPr>
                <w:rFonts w:ascii="Times New Roman" w:hAnsi="Times New Roman" w:cs="Times New Roman"/>
                <w:color w:val="B7B7B7"/>
                <w:sz w:val="24"/>
                <w:szCs w:val="24"/>
              </w:rPr>
              <w:t>the</w:t>
            </w:r>
            <w:proofErr w:type="spellEnd"/>
            <w:r w:rsidRPr="00327BC2">
              <w:rPr>
                <w:rFonts w:ascii="Times New Roman" w:hAnsi="Times New Roman" w:cs="Times New Roman"/>
                <w:color w:val="B7B7B7"/>
                <w:sz w:val="24"/>
                <w:szCs w:val="24"/>
              </w:rPr>
              <w:t xml:space="preserve"> </w:t>
            </w:r>
            <w:proofErr w:type="spellStart"/>
            <w:r w:rsidRPr="00327BC2">
              <w:rPr>
                <w:rFonts w:ascii="Times New Roman" w:hAnsi="Times New Roman" w:cs="Times New Roman"/>
                <w:color w:val="B7B7B7"/>
                <w:sz w:val="24"/>
                <w:szCs w:val="24"/>
              </w:rPr>
              <w:t>visibility</w:t>
            </w:r>
            <w:proofErr w:type="spellEnd"/>
            <w:r w:rsidRPr="00327BC2">
              <w:rPr>
                <w:rFonts w:ascii="Times New Roman" w:hAnsi="Times New Roman" w:cs="Times New Roman"/>
                <w:color w:val="B7B7B7"/>
                <w:sz w:val="24"/>
                <w:szCs w:val="24"/>
              </w:rPr>
              <w:t xml:space="preserve"> of </w:t>
            </w:r>
            <w:proofErr w:type="spellStart"/>
            <w:r w:rsidRPr="00327BC2">
              <w:rPr>
                <w:rFonts w:ascii="Times New Roman" w:hAnsi="Times New Roman" w:cs="Times New Roman"/>
                <w:color w:val="B7B7B7"/>
                <w:sz w:val="24"/>
                <w:szCs w:val="24"/>
              </w:rPr>
              <w:t>your</w:t>
            </w:r>
            <w:proofErr w:type="spellEnd"/>
            <w:r w:rsidRPr="00327BC2">
              <w:rPr>
                <w:rFonts w:ascii="Times New Roman" w:hAnsi="Times New Roman" w:cs="Times New Roman"/>
                <w:color w:val="B7B7B7"/>
                <w:sz w:val="24"/>
                <w:szCs w:val="24"/>
              </w:rPr>
              <w:t xml:space="preserve"> </w:t>
            </w:r>
            <w:proofErr w:type="spellStart"/>
            <w:r w:rsidRPr="00327BC2">
              <w:rPr>
                <w:rFonts w:ascii="Times New Roman" w:hAnsi="Times New Roman" w:cs="Times New Roman"/>
                <w:color w:val="B7B7B7"/>
                <w:sz w:val="24"/>
                <w:szCs w:val="24"/>
              </w:rPr>
              <w:t>research</w:t>
            </w:r>
            <w:proofErr w:type="spellEnd"/>
            <w:r w:rsidRPr="00327BC2">
              <w:rPr>
                <w:rFonts w:ascii="Times New Roman" w:hAnsi="Times New Roman" w:cs="Times New Roman"/>
                <w:color w:val="B7B7B7"/>
                <w:sz w:val="24"/>
                <w:szCs w:val="24"/>
              </w:rPr>
              <w:t xml:space="preserve">? </w:t>
            </w:r>
          </w:p>
          <w:p w14:paraId="6DBCD567" w14:textId="77777777" w:rsidR="00DC292D" w:rsidRPr="00327BC2" w:rsidRDefault="00DC292D"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sym w:font="Symbol" w:char="F0B7"/>
            </w:r>
            <w:r w:rsidRPr="00327BC2">
              <w:rPr>
                <w:rFonts w:ascii="Times New Roman" w:hAnsi="Times New Roman" w:cs="Times New Roman"/>
                <w:color w:val="B7B7B7"/>
                <w:sz w:val="24"/>
                <w:szCs w:val="24"/>
              </w:rPr>
              <w:t xml:space="preserve"> Publishing Open Access</w:t>
            </w:r>
          </w:p>
          <w:p w14:paraId="2509DDE5" w14:textId="77777777" w:rsidR="00DC292D" w:rsidRPr="00327BC2" w:rsidRDefault="00DC292D"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t>Teknopark</w:t>
            </w:r>
          </w:p>
          <w:p w14:paraId="55293F05" w14:textId="77777777" w:rsidR="00DC292D" w:rsidRPr="00327BC2" w:rsidRDefault="00DC292D" w:rsidP="0041298C">
            <w:pPr>
              <w:widowControl w:val="0"/>
              <w:spacing w:before="240" w:after="240"/>
              <w:jc w:val="both"/>
              <w:rPr>
                <w:rFonts w:ascii="Times New Roman" w:hAnsi="Times New Roman" w:cs="Times New Roman"/>
                <w:color w:val="B7B7B7"/>
                <w:sz w:val="24"/>
                <w:szCs w:val="24"/>
              </w:rPr>
            </w:pPr>
            <w:proofErr w:type="gramStart"/>
            <w:r w:rsidRPr="00327BC2">
              <w:rPr>
                <w:rFonts w:ascii="Times New Roman" w:hAnsi="Times New Roman" w:cs="Times New Roman"/>
                <w:color w:val="B7B7B7"/>
                <w:sz w:val="24"/>
                <w:szCs w:val="24"/>
              </w:rPr>
              <w:t xml:space="preserve">Teknopark İzmir’in ana amaçlarını girişimcilik faaliyetleri kapsamında üniversite ve tüm girişimcilik ekosisteminde girişimciliği özendirmek, farkındalık oluşturmak, girişimcilik kültürünü güçlendirmek, içselleştirmek, girişimcilik ruhunu yaygınlaştırmak, girişimcilere yönelik eğitimlerle iş fikirlerinin nitelikli iş planlarına dönüşmesini sağlamak, girişimcilere mentorluk/danışmanlık hizmetleri ile hızlandırıcı faaliyetlerini sunmak, yatırımcı, finansman ve fon kaynaklarına girişimcileri hazırlamak, girişimleri kendi imkânları ile yaşayabilen başarılı bir girişim haline getirmektir. </w:t>
            </w:r>
            <w:proofErr w:type="gramEnd"/>
            <w:r w:rsidRPr="00327BC2">
              <w:rPr>
                <w:rFonts w:ascii="Times New Roman" w:hAnsi="Times New Roman" w:cs="Times New Roman"/>
                <w:color w:val="B7B7B7"/>
                <w:sz w:val="24"/>
                <w:szCs w:val="24"/>
              </w:rPr>
              <w:t>Bu amaçların gerçekleştirilmesi için Teknopark İzmir’de girişimcilikle ilgili çeşitli programlar yürütülür.</w:t>
            </w:r>
          </w:p>
          <w:p w14:paraId="3EC96F38" w14:textId="77777777" w:rsidR="00DC292D" w:rsidRPr="00327BC2" w:rsidRDefault="00DC292D"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t>Atmosfer TTO</w:t>
            </w:r>
          </w:p>
          <w:p w14:paraId="32F29137" w14:textId="77777777" w:rsidR="00DC292D" w:rsidRPr="00327BC2" w:rsidRDefault="00DC292D"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t>Atmosfer TTO tarafından sağlanan destekler şunlardır:</w:t>
            </w:r>
          </w:p>
          <w:p w14:paraId="31D8744D" w14:textId="77777777" w:rsidR="00680A42" w:rsidRPr="00327BC2" w:rsidRDefault="00DC292D"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sym w:font="Symbol" w:char="F0B7"/>
            </w:r>
            <w:r w:rsidRPr="00327BC2">
              <w:rPr>
                <w:rFonts w:ascii="Times New Roman" w:hAnsi="Times New Roman" w:cs="Times New Roman"/>
                <w:color w:val="B7B7B7"/>
                <w:sz w:val="24"/>
                <w:szCs w:val="24"/>
              </w:rPr>
              <w:t xml:space="preserve"> </w:t>
            </w:r>
            <w:proofErr w:type="gramStart"/>
            <w:r w:rsidRPr="00327BC2">
              <w:rPr>
                <w:rFonts w:ascii="Times New Roman" w:hAnsi="Times New Roman" w:cs="Times New Roman"/>
                <w:color w:val="B7B7B7"/>
                <w:sz w:val="24"/>
                <w:szCs w:val="24"/>
              </w:rPr>
              <w:t xml:space="preserve">Ulusal ve uluslararası destek programları (Bilim, Sanayi ve Teknoloji Bakanlığı’nın San-Tez, </w:t>
            </w:r>
            <w:proofErr w:type="spellStart"/>
            <w:r w:rsidRPr="00327BC2">
              <w:rPr>
                <w:rFonts w:ascii="Times New Roman" w:hAnsi="Times New Roman" w:cs="Times New Roman"/>
                <w:color w:val="B7B7B7"/>
                <w:sz w:val="24"/>
                <w:szCs w:val="24"/>
              </w:rPr>
              <w:t>Teknogirişim</w:t>
            </w:r>
            <w:proofErr w:type="spellEnd"/>
            <w:r w:rsidRPr="00327BC2">
              <w:rPr>
                <w:rFonts w:ascii="Times New Roman" w:hAnsi="Times New Roman" w:cs="Times New Roman"/>
                <w:color w:val="B7B7B7"/>
                <w:sz w:val="24"/>
                <w:szCs w:val="24"/>
              </w:rPr>
              <w:t xml:space="preserve"> Sermayesi Destek Programı ve TÜBİTAK’ın ARDEB, TEYDEB, KAMAG, İÇİM, BİDEB gibi ulusal ve Horizon 2020, EUREKA, COST gibi uluslararası) ile ilgili danışmanlık hizmeti </w:t>
            </w:r>
            <w:proofErr w:type="spellStart"/>
            <w:r w:rsidRPr="00327BC2">
              <w:rPr>
                <w:rFonts w:ascii="Times New Roman" w:hAnsi="Times New Roman" w:cs="Times New Roman"/>
                <w:color w:val="B7B7B7"/>
                <w:sz w:val="24"/>
                <w:szCs w:val="24"/>
              </w:rPr>
              <w:t>sağlağlanması</w:t>
            </w:r>
            <w:proofErr w:type="spellEnd"/>
            <w:r w:rsidRPr="00327BC2">
              <w:rPr>
                <w:rFonts w:ascii="Times New Roman" w:hAnsi="Times New Roman" w:cs="Times New Roman"/>
                <w:color w:val="B7B7B7"/>
                <w:sz w:val="24"/>
                <w:szCs w:val="24"/>
              </w:rPr>
              <w:t xml:space="preserve">, bu projelerle ilgili çağrıların takip edilerek ilgili akademisyenlere duyurulması, akademisyenlere proje özelinde atölye çalışmaları ve eğitimler düzenlenmesi, </w:t>
            </w:r>
            <w:proofErr w:type="gramEnd"/>
          </w:p>
          <w:p w14:paraId="0CC739F5" w14:textId="77777777" w:rsidR="00680A42" w:rsidRPr="00327BC2" w:rsidRDefault="00DC292D"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sym w:font="Symbol" w:char="F0B7"/>
            </w:r>
            <w:r w:rsidRPr="00327BC2">
              <w:rPr>
                <w:rFonts w:ascii="Times New Roman" w:hAnsi="Times New Roman" w:cs="Times New Roman"/>
                <w:color w:val="B7B7B7"/>
                <w:sz w:val="24"/>
                <w:szCs w:val="24"/>
              </w:rPr>
              <w:t xml:space="preserve"> Enstitünün sanayi birlikleri (EBSO, İTO, ESİAD, EGİAD, İGİD, YASAD vb.) ve endüstri iş birlikleri geliştirmesinin sağlanması, bunlara yönelik tanıtım ve bilgilendirme etkinlikleri, </w:t>
            </w:r>
            <w:proofErr w:type="gramStart"/>
            <w:r w:rsidRPr="00327BC2">
              <w:rPr>
                <w:rFonts w:ascii="Times New Roman" w:hAnsi="Times New Roman" w:cs="Times New Roman"/>
                <w:color w:val="B7B7B7"/>
                <w:sz w:val="24"/>
                <w:szCs w:val="24"/>
              </w:rPr>
              <w:t>sempozyumlar</w:t>
            </w:r>
            <w:proofErr w:type="gramEnd"/>
            <w:r w:rsidRPr="00327BC2">
              <w:rPr>
                <w:rFonts w:ascii="Times New Roman" w:hAnsi="Times New Roman" w:cs="Times New Roman"/>
                <w:color w:val="B7B7B7"/>
                <w:sz w:val="24"/>
                <w:szCs w:val="24"/>
              </w:rPr>
              <w:t xml:space="preserve">, şirket ziyaretleri ve şirketlerin </w:t>
            </w:r>
            <w:proofErr w:type="spellStart"/>
            <w:r w:rsidRPr="00327BC2">
              <w:rPr>
                <w:rFonts w:ascii="Times New Roman" w:hAnsi="Times New Roman" w:cs="Times New Roman"/>
                <w:color w:val="B7B7B7"/>
                <w:sz w:val="24"/>
                <w:szCs w:val="24"/>
              </w:rPr>
              <w:t>İYTE’ye</w:t>
            </w:r>
            <w:proofErr w:type="spellEnd"/>
            <w:r w:rsidRPr="00327BC2">
              <w:rPr>
                <w:rFonts w:ascii="Times New Roman" w:hAnsi="Times New Roman" w:cs="Times New Roman"/>
                <w:color w:val="B7B7B7"/>
                <w:sz w:val="24"/>
                <w:szCs w:val="24"/>
              </w:rPr>
              <w:t xml:space="preserve"> davet edilmesi gibi faaliyetlerle ilişkilerin güçlendirilmesinin sağlanması, ortaya çıkacak olası işbirliği ile gerçekleştirilecek Ar-Ge projelerinin yazılma ve yürütülmesinde aktif rol alınması, </w:t>
            </w:r>
          </w:p>
          <w:p w14:paraId="749D76E1" w14:textId="77777777" w:rsidR="00680A42" w:rsidRPr="00327BC2" w:rsidRDefault="00DC292D"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sym w:font="Symbol" w:char="F0B7"/>
            </w:r>
            <w:r w:rsidRPr="00327BC2">
              <w:rPr>
                <w:rFonts w:ascii="Times New Roman" w:hAnsi="Times New Roman" w:cs="Times New Roman"/>
                <w:color w:val="B7B7B7"/>
                <w:sz w:val="24"/>
                <w:szCs w:val="24"/>
              </w:rPr>
              <w:t xml:space="preserve"> </w:t>
            </w:r>
            <w:proofErr w:type="spellStart"/>
            <w:r w:rsidRPr="00327BC2">
              <w:rPr>
                <w:rFonts w:ascii="Times New Roman" w:hAnsi="Times New Roman" w:cs="Times New Roman"/>
                <w:color w:val="B7B7B7"/>
                <w:sz w:val="24"/>
                <w:szCs w:val="24"/>
              </w:rPr>
              <w:t>Entellektüel</w:t>
            </w:r>
            <w:proofErr w:type="spellEnd"/>
            <w:r w:rsidRPr="00327BC2">
              <w:rPr>
                <w:rFonts w:ascii="Times New Roman" w:hAnsi="Times New Roman" w:cs="Times New Roman"/>
                <w:color w:val="B7B7B7"/>
                <w:sz w:val="24"/>
                <w:szCs w:val="24"/>
              </w:rPr>
              <w:t xml:space="preserve"> sermayenin Fikri ve </w:t>
            </w:r>
            <w:proofErr w:type="spellStart"/>
            <w:r w:rsidRPr="00327BC2">
              <w:rPr>
                <w:rFonts w:ascii="Times New Roman" w:hAnsi="Times New Roman" w:cs="Times New Roman"/>
                <w:color w:val="B7B7B7"/>
                <w:sz w:val="24"/>
                <w:szCs w:val="24"/>
              </w:rPr>
              <w:t>Sinai</w:t>
            </w:r>
            <w:proofErr w:type="spellEnd"/>
            <w:r w:rsidRPr="00327BC2">
              <w:rPr>
                <w:rFonts w:ascii="Times New Roman" w:hAnsi="Times New Roman" w:cs="Times New Roman"/>
                <w:color w:val="B7B7B7"/>
                <w:sz w:val="24"/>
                <w:szCs w:val="24"/>
              </w:rPr>
              <w:t xml:space="preserve"> Mülkiyet Haklarının (FSMH) alınması ve yönetilmesi ile ilgili akademisyen ve araştırmacılara Araştırmalar Direktörlüğü ile koordineli olarak danışmanlık sağlanması, </w:t>
            </w:r>
          </w:p>
          <w:p w14:paraId="4546A289" w14:textId="77777777" w:rsidR="00DC292D" w:rsidRPr="00327BC2" w:rsidRDefault="00DC292D"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lastRenderedPageBreak/>
              <w:sym w:font="Symbol" w:char="F0B7"/>
            </w:r>
            <w:r w:rsidRPr="00327BC2">
              <w:rPr>
                <w:rFonts w:ascii="Times New Roman" w:hAnsi="Times New Roman" w:cs="Times New Roman"/>
                <w:color w:val="B7B7B7"/>
                <w:sz w:val="24"/>
                <w:szCs w:val="24"/>
              </w:rPr>
              <w:t xml:space="preserve"> Teknoloji ve AR-GE odaklı girişimlere yönelik girişimcilik eğitimlerinin verilmesi, Start-</w:t>
            </w:r>
            <w:proofErr w:type="spellStart"/>
            <w:r w:rsidRPr="00327BC2">
              <w:rPr>
                <w:rFonts w:ascii="Times New Roman" w:hAnsi="Times New Roman" w:cs="Times New Roman"/>
                <w:color w:val="B7B7B7"/>
                <w:sz w:val="24"/>
                <w:szCs w:val="24"/>
              </w:rPr>
              <w:t>Up</w:t>
            </w:r>
            <w:proofErr w:type="spellEnd"/>
            <w:r w:rsidRPr="00327BC2">
              <w:rPr>
                <w:rFonts w:ascii="Times New Roman" w:hAnsi="Times New Roman" w:cs="Times New Roman"/>
                <w:color w:val="B7B7B7"/>
                <w:sz w:val="24"/>
                <w:szCs w:val="24"/>
              </w:rPr>
              <w:t xml:space="preserve"> adaylarının belirlenmesi, kuluçka merkezi hizmeti kapsamında, genç girişimcilere ve akademisyenlere ofis alanı sağlanması, şirketleşme ve işletme danışmanlığı verilmesi.</w:t>
            </w:r>
          </w:p>
          <w:p w14:paraId="1EC2F946" w14:textId="6A2E29C1" w:rsidR="00680A42" w:rsidRPr="00327BC2" w:rsidRDefault="00680A42"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t xml:space="preserve">Atmosfer TTO faaliyetleri, farklı sürelerde farklı kurumlara yapılan faaliyet raporlamaları aracılığıyla izlenir. Her yıl bitiminde TÜBİTAK uzmanları ve belirlenen hakemlerle birlikte bir panel ve sunum gerçekleştirilerek, yıllık ilerlemeler TÜBİTAK’ a raporlanır. Aynı şekilde beşer yıllık proje raporları da TÜBİTAK uzmanları ve hakemler tarafından değerlendirilerek, birimin beş yıllık izlemesi yapılır. Yıl içerisinde TÜBİTAK’ a üçer aylık </w:t>
            </w:r>
            <w:proofErr w:type="gramStart"/>
            <w:r w:rsidRPr="00327BC2">
              <w:rPr>
                <w:rFonts w:ascii="Times New Roman" w:hAnsi="Times New Roman" w:cs="Times New Roman"/>
                <w:color w:val="B7B7B7"/>
                <w:sz w:val="24"/>
                <w:szCs w:val="24"/>
              </w:rPr>
              <w:t>periyotlar</w:t>
            </w:r>
            <w:proofErr w:type="gramEnd"/>
            <w:r w:rsidRPr="00327BC2">
              <w:rPr>
                <w:rFonts w:ascii="Times New Roman" w:hAnsi="Times New Roman" w:cs="Times New Roman"/>
                <w:color w:val="B7B7B7"/>
                <w:sz w:val="24"/>
                <w:szCs w:val="24"/>
              </w:rPr>
              <w:t xml:space="preserve"> halinde dönem içi veri raporlaması yapılır; aylık TTO raporları yazılarak Teknopark İzmir Yönetimi ve İYTE Rektörlüğü ile paylaşılır.</w:t>
            </w:r>
          </w:p>
        </w:tc>
      </w:tr>
      <w:tr w:rsidR="00DC292D" w:rsidRPr="00327BC2" w14:paraId="1365397A" w14:textId="77777777" w:rsidTr="00327BC2">
        <w:trPr>
          <w:trHeight w:val="1825"/>
        </w:trPr>
        <w:tc>
          <w:tcPr>
            <w:tcW w:w="9773" w:type="dxa"/>
            <w:gridSpan w:val="4"/>
            <w:tcBorders>
              <w:top w:val="dotDash" w:sz="4" w:space="0" w:color="auto"/>
              <w:left w:val="dotDash" w:sz="4" w:space="0" w:color="auto"/>
              <w:bottom w:val="dotDash" w:sz="4" w:space="0" w:color="auto"/>
              <w:right w:val="dotDash" w:sz="4" w:space="0" w:color="auto"/>
            </w:tcBorders>
            <w:shd w:val="clear" w:color="auto" w:fill="auto"/>
            <w:tcMar>
              <w:top w:w="100" w:type="dxa"/>
              <w:left w:w="100" w:type="dxa"/>
              <w:bottom w:w="100" w:type="dxa"/>
              <w:right w:w="100" w:type="dxa"/>
            </w:tcMar>
          </w:tcPr>
          <w:p w14:paraId="471BDF1F" w14:textId="6718872A" w:rsidR="00DC292D" w:rsidRPr="00327BC2" w:rsidRDefault="00AE03C3" w:rsidP="0041298C">
            <w:pPr>
              <w:widowControl w:val="0"/>
              <w:pBdr>
                <w:top w:val="nil"/>
                <w:left w:val="nil"/>
                <w:bottom w:val="nil"/>
                <w:right w:val="nil"/>
                <w:between w:val="nil"/>
              </w:pBdr>
              <w:spacing w:line="240" w:lineRule="auto"/>
              <w:rPr>
                <w:rFonts w:ascii="Times New Roman" w:hAnsi="Times New Roman" w:cs="Times New Roman"/>
                <w:color w:val="FF0000"/>
                <w:sz w:val="24"/>
                <w:szCs w:val="24"/>
                <w:u w:val="single"/>
              </w:rPr>
            </w:pPr>
            <w:proofErr w:type="gramStart"/>
            <w:r w:rsidRPr="00AE03C3">
              <w:rPr>
                <w:rFonts w:ascii="Times New Roman" w:hAnsi="Times New Roman" w:cs="Times New Roman"/>
                <w:sz w:val="24"/>
                <w:szCs w:val="24"/>
                <w:highlight w:val="yellow"/>
                <w:u w:val="single"/>
              </w:rPr>
              <w:lastRenderedPageBreak/>
              <w:t>.....</w:t>
            </w:r>
            <w:proofErr w:type="gramEnd"/>
            <w:r w:rsidRPr="00327BC2">
              <w:rPr>
                <w:rFonts w:ascii="Times New Roman" w:hAnsi="Times New Roman" w:cs="Times New Roman"/>
                <w:sz w:val="24"/>
                <w:szCs w:val="24"/>
                <w:u w:val="single"/>
              </w:rPr>
              <w:t xml:space="preserve"> </w:t>
            </w:r>
            <w:r w:rsidR="00DC292D" w:rsidRPr="000E1028">
              <w:rPr>
                <w:rFonts w:ascii="Times New Roman" w:hAnsi="Times New Roman" w:cs="Times New Roman"/>
                <w:sz w:val="24"/>
                <w:szCs w:val="24"/>
                <w:u w:val="single"/>
              </w:rPr>
              <w:t>Yılı Faaliyetleri, Uygulamaları ve İyileştirmeleri</w:t>
            </w:r>
          </w:p>
          <w:p w14:paraId="577089D9" w14:textId="09CCBACB" w:rsidR="00DC292D" w:rsidRPr="00327BC2" w:rsidRDefault="00DC292D" w:rsidP="00327BC2">
            <w:pPr>
              <w:widowControl w:val="0"/>
              <w:pBdr>
                <w:top w:val="nil"/>
                <w:left w:val="nil"/>
                <w:bottom w:val="nil"/>
                <w:right w:val="nil"/>
                <w:between w:val="nil"/>
              </w:pBdr>
              <w:spacing w:line="240" w:lineRule="auto"/>
              <w:rPr>
                <w:rFonts w:ascii="Times New Roman" w:hAnsi="Times New Roman" w:cs="Times New Roman"/>
                <w:sz w:val="24"/>
                <w:szCs w:val="24"/>
              </w:rPr>
            </w:pPr>
          </w:p>
        </w:tc>
      </w:tr>
    </w:tbl>
    <w:p w14:paraId="7FB6EEDD" w14:textId="2AAD7978" w:rsidR="00327BC2" w:rsidRDefault="00327BC2">
      <w:pPr>
        <w:rPr>
          <w:rFonts w:ascii="Times New Roman" w:hAnsi="Times New Roman" w:cs="Times New Roman"/>
          <w:sz w:val="24"/>
          <w:szCs w:val="24"/>
        </w:rPr>
      </w:pPr>
    </w:p>
    <w:p w14:paraId="5C19B574" w14:textId="6152FA35" w:rsidR="00327BC2" w:rsidRDefault="00327BC2">
      <w:pPr>
        <w:rPr>
          <w:rFonts w:ascii="Times New Roman" w:hAnsi="Times New Roman" w:cs="Times New Roman"/>
          <w:sz w:val="24"/>
          <w:szCs w:val="24"/>
        </w:rPr>
      </w:pPr>
    </w:p>
    <w:p w14:paraId="47559FA4" w14:textId="3ADA2EFF" w:rsidR="00327BC2" w:rsidRDefault="00327BC2">
      <w:pPr>
        <w:rPr>
          <w:rFonts w:ascii="Times New Roman" w:hAnsi="Times New Roman" w:cs="Times New Roman"/>
          <w:sz w:val="24"/>
          <w:szCs w:val="24"/>
        </w:rPr>
      </w:pPr>
    </w:p>
    <w:p w14:paraId="5F49AD00" w14:textId="287EB3F7" w:rsidR="00327BC2" w:rsidRDefault="00327BC2">
      <w:pPr>
        <w:rPr>
          <w:rFonts w:ascii="Times New Roman" w:hAnsi="Times New Roman" w:cs="Times New Roman"/>
          <w:sz w:val="24"/>
          <w:szCs w:val="24"/>
        </w:rPr>
      </w:pPr>
    </w:p>
    <w:p w14:paraId="1FCAD1D7" w14:textId="42E0E70B" w:rsidR="00327BC2" w:rsidRDefault="00327BC2">
      <w:pPr>
        <w:rPr>
          <w:rFonts w:ascii="Times New Roman" w:hAnsi="Times New Roman" w:cs="Times New Roman"/>
          <w:sz w:val="24"/>
          <w:szCs w:val="24"/>
        </w:rPr>
      </w:pPr>
    </w:p>
    <w:p w14:paraId="490C64D7" w14:textId="7B856FC2" w:rsidR="00327BC2" w:rsidRDefault="00327BC2">
      <w:pPr>
        <w:rPr>
          <w:rFonts w:ascii="Times New Roman" w:hAnsi="Times New Roman" w:cs="Times New Roman"/>
          <w:sz w:val="24"/>
          <w:szCs w:val="24"/>
        </w:rPr>
      </w:pPr>
    </w:p>
    <w:p w14:paraId="491D55A5" w14:textId="056B71A3" w:rsidR="00327BC2" w:rsidRDefault="00327BC2">
      <w:pPr>
        <w:rPr>
          <w:rFonts w:ascii="Times New Roman" w:hAnsi="Times New Roman" w:cs="Times New Roman"/>
          <w:sz w:val="24"/>
          <w:szCs w:val="24"/>
        </w:rPr>
      </w:pPr>
    </w:p>
    <w:p w14:paraId="05F333C3" w14:textId="5E15867F" w:rsidR="00327BC2" w:rsidRDefault="00327BC2">
      <w:pPr>
        <w:rPr>
          <w:rFonts w:ascii="Times New Roman" w:hAnsi="Times New Roman" w:cs="Times New Roman"/>
          <w:sz w:val="24"/>
          <w:szCs w:val="24"/>
        </w:rPr>
      </w:pPr>
    </w:p>
    <w:p w14:paraId="7AD59AFD" w14:textId="6FA7C87B" w:rsidR="00327BC2" w:rsidRDefault="00327BC2">
      <w:pPr>
        <w:rPr>
          <w:rFonts w:ascii="Times New Roman" w:hAnsi="Times New Roman" w:cs="Times New Roman"/>
          <w:sz w:val="24"/>
          <w:szCs w:val="24"/>
        </w:rPr>
      </w:pPr>
    </w:p>
    <w:p w14:paraId="12C2F82B" w14:textId="5CB7493C" w:rsidR="00327BC2" w:rsidRDefault="00327BC2">
      <w:pPr>
        <w:rPr>
          <w:rFonts w:ascii="Times New Roman" w:hAnsi="Times New Roman" w:cs="Times New Roman"/>
          <w:sz w:val="24"/>
          <w:szCs w:val="24"/>
        </w:rPr>
      </w:pPr>
    </w:p>
    <w:p w14:paraId="7E8164CD" w14:textId="4504FCCA" w:rsidR="00327BC2" w:rsidRDefault="00327BC2">
      <w:pPr>
        <w:rPr>
          <w:rFonts w:ascii="Times New Roman" w:hAnsi="Times New Roman" w:cs="Times New Roman"/>
          <w:sz w:val="24"/>
          <w:szCs w:val="24"/>
        </w:rPr>
      </w:pPr>
    </w:p>
    <w:p w14:paraId="6B62B602" w14:textId="44ED68C2" w:rsidR="00327BC2" w:rsidRDefault="00327BC2">
      <w:pPr>
        <w:rPr>
          <w:rFonts w:ascii="Times New Roman" w:hAnsi="Times New Roman" w:cs="Times New Roman"/>
          <w:sz w:val="24"/>
          <w:szCs w:val="24"/>
        </w:rPr>
      </w:pPr>
    </w:p>
    <w:p w14:paraId="62D8A208" w14:textId="2BCCF8A8" w:rsidR="00327BC2" w:rsidRDefault="00327BC2">
      <w:pPr>
        <w:rPr>
          <w:rFonts w:ascii="Times New Roman" w:hAnsi="Times New Roman" w:cs="Times New Roman"/>
          <w:sz w:val="24"/>
          <w:szCs w:val="24"/>
        </w:rPr>
      </w:pPr>
    </w:p>
    <w:p w14:paraId="716C0026" w14:textId="574E97B5" w:rsidR="00327BC2" w:rsidRDefault="00327BC2">
      <w:pPr>
        <w:rPr>
          <w:rFonts w:ascii="Times New Roman" w:hAnsi="Times New Roman" w:cs="Times New Roman"/>
          <w:sz w:val="24"/>
          <w:szCs w:val="24"/>
        </w:rPr>
      </w:pPr>
    </w:p>
    <w:p w14:paraId="7D1ED5CA" w14:textId="22FC9AD3" w:rsidR="00327BC2" w:rsidRDefault="00327BC2">
      <w:pPr>
        <w:rPr>
          <w:rFonts w:ascii="Times New Roman" w:hAnsi="Times New Roman" w:cs="Times New Roman"/>
          <w:sz w:val="24"/>
          <w:szCs w:val="24"/>
        </w:rPr>
      </w:pPr>
    </w:p>
    <w:p w14:paraId="4FCC4E9E" w14:textId="6BF0E58D" w:rsidR="00327BC2" w:rsidRDefault="00327BC2">
      <w:pPr>
        <w:rPr>
          <w:rFonts w:ascii="Times New Roman" w:hAnsi="Times New Roman" w:cs="Times New Roman"/>
          <w:sz w:val="24"/>
          <w:szCs w:val="24"/>
        </w:rPr>
      </w:pPr>
    </w:p>
    <w:p w14:paraId="13A3507B" w14:textId="7B5334B4" w:rsidR="00327BC2" w:rsidRDefault="00327BC2">
      <w:pPr>
        <w:rPr>
          <w:rFonts w:ascii="Times New Roman" w:hAnsi="Times New Roman" w:cs="Times New Roman"/>
          <w:sz w:val="24"/>
          <w:szCs w:val="24"/>
        </w:rPr>
      </w:pPr>
    </w:p>
    <w:p w14:paraId="4219DC2B" w14:textId="75204458" w:rsidR="00327BC2" w:rsidRDefault="00327BC2">
      <w:pPr>
        <w:rPr>
          <w:rFonts w:ascii="Times New Roman" w:hAnsi="Times New Roman" w:cs="Times New Roman"/>
          <w:sz w:val="24"/>
          <w:szCs w:val="24"/>
        </w:rPr>
      </w:pPr>
    </w:p>
    <w:p w14:paraId="71EAE54B" w14:textId="5B6B5BDD" w:rsidR="00327BC2" w:rsidRDefault="00327BC2">
      <w:pPr>
        <w:rPr>
          <w:rFonts w:ascii="Times New Roman" w:hAnsi="Times New Roman" w:cs="Times New Roman"/>
          <w:sz w:val="24"/>
          <w:szCs w:val="24"/>
        </w:rPr>
      </w:pPr>
    </w:p>
    <w:p w14:paraId="40B02399" w14:textId="40527727" w:rsidR="00327BC2" w:rsidRDefault="00327BC2">
      <w:pPr>
        <w:rPr>
          <w:rFonts w:ascii="Times New Roman" w:hAnsi="Times New Roman" w:cs="Times New Roman"/>
          <w:sz w:val="24"/>
          <w:szCs w:val="24"/>
        </w:rPr>
      </w:pPr>
    </w:p>
    <w:p w14:paraId="36B1F374" w14:textId="63D56C46" w:rsidR="00327BC2" w:rsidRDefault="00327BC2">
      <w:pPr>
        <w:rPr>
          <w:rFonts w:ascii="Times New Roman" w:hAnsi="Times New Roman" w:cs="Times New Roman"/>
          <w:sz w:val="24"/>
          <w:szCs w:val="24"/>
        </w:rPr>
      </w:pPr>
    </w:p>
    <w:p w14:paraId="0DA7B00B" w14:textId="75195E13" w:rsidR="00327BC2" w:rsidRDefault="00327BC2">
      <w:pPr>
        <w:rPr>
          <w:rFonts w:ascii="Times New Roman" w:hAnsi="Times New Roman" w:cs="Times New Roman"/>
          <w:sz w:val="24"/>
          <w:szCs w:val="24"/>
        </w:rPr>
      </w:pPr>
    </w:p>
    <w:p w14:paraId="693AF510" w14:textId="15D851E3" w:rsidR="00327BC2" w:rsidRDefault="00327BC2">
      <w:pPr>
        <w:rPr>
          <w:rFonts w:ascii="Times New Roman" w:hAnsi="Times New Roman" w:cs="Times New Roman"/>
          <w:sz w:val="24"/>
          <w:szCs w:val="24"/>
        </w:rPr>
      </w:pPr>
    </w:p>
    <w:p w14:paraId="26CA3A99" w14:textId="3736BDD9" w:rsidR="00327BC2" w:rsidRDefault="00327BC2">
      <w:pPr>
        <w:rPr>
          <w:rFonts w:ascii="Times New Roman" w:hAnsi="Times New Roman" w:cs="Times New Roman"/>
          <w:sz w:val="24"/>
          <w:szCs w:val="24"/>
        </w:rPr>
      </w:pPr>
    </w:p>
    <w:p w14:paraId="4A1E057F" w14:textId="7CC5C6E7" w:rsidR="00327BC2" w:rsidRDefault="00327BC2">
      <w:pPr>
        <w:rPr>
          <w:rFonts w:ascii="Times New Roman" w:hAnsi="Times New Roman" w:cs="Times New Roman"/>
          <w:sz w:val="24"/>
          <w:szCs w:val="24"/>
        </w:rPr>
      </w:pPr>
    </w:p>
    <w:p w14:paraId="4A6C9017" w14:textId="41E0AC14" w:rsidR="00327BC2" w:rsidRDefault="00327BC2">
      <w:pPr>
        <w:rPr>
          <w:rFonts w:ascii="Times New Roman" w:hAnsi="Times New Roman" w:cs="Times New Roman"/>
          <w:sz w:val="24"/>
          <w:szCs w:val="24"/>
        </w:rPr>
      </w:pPr>
    </w:p>
    <w:tbl>
      <w:tblPr>
        <w:tblW w:w="9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59"/>
        <w:gridCol w:w="2005"/>
        <w:gridCol w:w="284"/>
        <w:gridCol w:w="6525"/>
      </w:tblGrid>
      <w:tr w:rsidR="00680A42" w:rsidRPr="00327BC2" w14:paraId="587B07AA" w14:textId="77777777" w:rsidTr="00327BC2">
        <w:tc>
          <w:tcPr>
            <w:tcW w:w="959" w:type="dxa"/>
            <w:tcBorders>
              <w:top w:val="nil"/>
              <w:left w:val="nil"/>
              <w:bottom w:val="nil"/>
              <w:right w:val="nil"/>
            </w:tcBorders>
            <w:shd w:val="clear" w:color="auto" w:fill="auto"/>
            <w:tcMar>
              <w:top w:w="100" w:type="dxa"/>
              <w:left w:w="100" w:type="dxa"/>
              <w:bottom w:w="100" w:type="dxa"/>
              <w:right w:w="100" w:type="dxa"/>
            </w:tcMar>
          </w:tcPr>
          <w:p w14:paraId="395A0262" w14:textId="0E26C096" w:rsidR="00680A42" w:rsidRPr="00327BC2" w:rsidRDefault="00680A42" w:rsidP="0041298C">
            <w:pPr>
              <w:widowControl w:val="0"/>
              <w:pBdr>
                <w:top w:val="nil"/>
                <w:left w:val="nil"/>
                <w:bottom w:val="nil"/>
                <w:right w:val="nil"/>
                <w:between w:val="nil"/>
              </w:pBdr>
              <w:spacing w:line="240" w:lineRule="auto"/>
              <w:rPr>
                <w:rFonts w:ascii="Times New Roman" w:hAnsi="Times New Roman" w:cs="Times New Roman"/>
                <w:b/>
                <w:sz w:val="24"/>
                <w:szCs w:val="24"/>
              </w:rPr>
            </w:pPr>
            <w:r w:rsidRPr="00327BC2">
              <w:rPr>
                <w:rFonts w:ascii="Times New Roman" w:hAnsi="Times New Roman" w:cs="Times New Roman"/>
                <w:b/>
                <w:sz w:val="24"/>
                <w:szCs w:val="24"/>
              </w:rPr>
              <w:lastRenderedPageBreak/>
              <w:t>C.1.3.</w:t>
            </w:r>
          </w:p>
        </w:tc>
        <w:tc>
          <w:tcPr>
            <w:tcW w:w="8814" w:type="dxa"/>
            <w:gridSpan w:val="3"/>
            <w:tcBorders>
              <w:top w:val="nil"/>
              <w:left w:val="nil"/>
              <w:bottom w:val="nil"/>
              <w:right w:val="nil"/>
            </w:tcBorders>
            <w:shd w:val="clear" w:color="auto" w:fill="auto"/>
            <w:tcMar>
              <w:top w:w="100" w:type="dxa"/>
              <w:left w:w="100" w:type="dxa"/>
              <w:bottom w:w="100" w:type="dxa"/>
              <w:right w:w="100" w:type="dxa"/>
            </w:tcMar>
          </w:tcPr>
          <w:p w14:paraId="3A6F3CC4" w14:textId="53ECD982" w:rsidR="00680A42" w:rsidRPr="00327BC2" w:rsidRDefault="00680A42" w:rsidP="0041298C">
            <w:pPr>
              <w:widowControl w:val="0"/>
              <w:pBdr>
                <w:top w:val="nil"/>
                <w:left w:val="nil"/>
                <w:bottom w:val="nil"/>
                <w:right w:val="nil"/>
                <w:between w:val="nil"/>
              </w:pBdr>
              <w:spacing w:line="240" w:lineRule="auto"/>
              <w:rPr>
                <w:rFonts w:ascii="Times New Roman" w:hAnsi="Times New Roman" w:cs="Times New Roman"/>
                <w:b/>
                <w:sz w:val="24"/>
                <w:szCs w:val="24"/>
              </w:rPr>
            </w:pPr>
            <w:r w:rsidRPr="00327BC2">
              <w:rPr>
                <w:rFonts w:ascii="Times New Roman" w:hAnsi="Times New Roman" w:cs="Times New Roman"/>
                <w:b/>
                <w:sz w:val="24"/>
                <w:szCs w:val="24"/>
              </w:rPr>
              <w:t>Doktora programları ve doktora sonrası imkânlar</w:t>
            </w:r>
          </w:p>
        </w:tc>
      </w:tr>
      <w:tr w:rsidR="00680A42" w:rsidRPr="00327BC2" w14:paraId="40DB5236" w14:textId="77777777" w:rsidTr="00327BC2">
        <w:trPr>
          <w:trHeight w:val="191"/>
        </w:trPr>
        <w:tc>
          <w:tcPr>
            <w:tcW w:w="959" w:type="dxa"/>
            <w:tcBorders>
              <w:top w:val="nil"/>
              <w:left w:val="nil"/>
              <w:bottom w:val="nil"/>
              <w:right w:val="nil"/>
            </w:tcBorders>
            <w:shd w:val="clear" w:color="auto" w:fill="auto"/>
            <w:tcMar>
              <w:top w:w="100" w:type="dxa"/>
              <w:left w:w="100" w:type="dxa"/>
              <w:bottom w:w="100" w:type="dxa"/>
              <w:right w:w="100" w:type="dxa"/>
            </w:tcMar>
          </w:tcPr>
          <w:p w14:paraId="02E1E425" w14:textId="77777777" w:rsidR="00680A42" w:rsidRPr="00327BC2" w:rsidRDefault="00680A42" w:rsidP="0041298C">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nil"/>
              <w:right w:val="nil"/>
            </w:tcBorders>
            <w:shd w:val="clear" w:color="auto" w:fill="auto"/>
            <w:tcMar>
              <w:top w:w="100" w:type="dxa"/>
              <w:left w:w="100" w:type="dxa"/>
              <w:bottom w:w="100" w:type="dxa"/>
              <w:right w:w="100" w:type="dxa"/>
            </w:tcMar>
          </w:tcPr>
          <w:p w14:paraId="2EFA1BAF" w14:textId="77777777" w:rsidR="00680A42" w:rsidRPr="00327BC2" w:rsidRDefault="00680A42" w:rsidP="0041298C">
            <w:pPr>
              <w:widowControl w:val="0"/>
              <w:pBdr>
                <w:top w:val="nil"/>
                <w:left w:val="nil"/>
                <w:bottom w:val="nil"/>
                <w:right w:val="nil"/>
                <w:between w:val="nil"/>
              </w:pBdr>
              <w:spacing w:line="240" w:lineRule="auto"/>
              <w:rPr>
                <w:rFonts w:ascii="Times New Roman" w:hAnsi="Times New Roman" w:cs="Times New Roman"/>
                <w:i/>
                <w:iCs/>
                <w:sz w:val="24"/>
                <w:szCs w:val="24"/>
              </w:rPr>
            </w:pPr>
            <w:r w:rsidRPr="00327BC2">
              <w:rPr>
                <w:rFonts w:ascii="Times New Roman" w:hAnsi="Times New Roman" w:cs="Times New Roman"/>
                <w:i/>
                <w:iCs/>
                <w:sz w:val="24"/>
                <w:szCs w:val="24"/>
              </w:rPr>
              <w:t>Olgunluk Düzeyi</w:t>
            </w:r>
          </w:p>
        </w:tc>
        <w:tc>
          <w:tcPr>
            <w:tcW w:w="284" w:type="dxa"/>
            <w:tcBorders>
              <w:top w:val="nil"/>
              <w:left w:val="nil"/>
              <w:bottom w:val="nil"/>
              <w:right w:val="nil"/>
            </w:tcBorders>
            <w:shd w:val="clear" w:color="auto" w:fill="auto"/>
          </w:tcPr>
          <w:p w14:paraId="4C04E3EA" w14:textId="77777777" w:rsidR="00680A42" w:rsidRPr="00327BC2" w:rsidRDefault="00680A42" w:rsidP="0041298C">
            <w:pPr>
              <w:widowControl w:val="0"/>
              <w:pBdr>
                <w:top w:val="nil"/>
                <w:left w:val="nil"/>
                <w:bottom w:val="nil"/>
                <w:right w:val="nil"/>
                <w:between w:val="nil"/>
              </w:pBdr>
              <w:spacing w:line="240" w:lineRule="auto"/>
              <w:rPr>
                <w:rFonts w:ascii="Times New Roman" w:hAnsi="Times New Roman" w:cs="Times New Roman"/>
                <w:i/>
                <w:iCs/>
                <w:sz w:val="24"/>
                <w:szCs w:val="24"/>
              </w:rPr>
            </w:pPr>
            <w:r w:rsidRPr="00327BC2">
              <w:rPr>
                <w:rFonts w:ascii="Times New Roman" w:hAnsi="Times New Roman" w:cs="Times New Roman"/>
                <w:i/>
                <w:iCs/>
                <w:sz w:val="24"/>
                <w:szCs w:val="24"/>
              </w:rPr>
              <w:t>:</w:t>
            </w:r>
          </w:p>
        </w:tc>
        <w:tc>
          <w:tcPr>
            <w:tcW w:w="6525" w:type="dxa"/>
            <w:tcBorders>
              <w:top w:val="nil"/>
              <w:left w:val="nil"/>
              <w:bottom w:val="nil"/>
              <w:right w:val="nil"/>
            </w:tcBorders>
            <w:shd w:val="clear" w:color="auto" w:fill="F0E22C"/>
          </w:tcPr>
          <w:p w14:paraId="72A86298" w14:textId="77777777" w:rsidR="00680A42" w:rsidRPr="00327BC2" w:rsidRDefault="00627D67" w:rsidP="0041298C">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1522071136"/>
                <w:placeholder>
                  <w:docPart w:val="40854ECD84D247168AAEF8D72114F0B8"/>
                </w:placeholder>
                <w:showingPlcHdr/>
                <w:dropDownList>
                  <w:listItem w:value="Bir öğe seçin."/>
                  <w:listItem w:displayText="1: Kurumun doktora programı ve doktora sonrası imkanları bulunmamaktadır." w:value="1"/>
                  <w:listItem w:displayText="2: Kurumun araştırma politikası, hedefleri ve stratejileri ile uyumlu doktora programı ve doktora sonrası imkanlarına ilişkin planlamalar bulunmaktadır. " w:value="2"/>
                  <w:listItem w:displayText="3: Kurumda araştırma politikası, hedefleri ve stratejileri ile uyumlu ve destekleyen doktora programları ve doktora sonrası imkanlar yürütülmektedir. " w:value="3"/>
                  <w:listItem w:displayText="4: Kurumda doktora programları ve doktora sonrası imkanlarının çıktıları düzenli olarak izlenmekte ve iyileştirilmektedir." w:value="4"/>
                  <w:listItem w:displayText="5: İçselleştirilmiş, sistematik, sürdürülebilir ve örnek gösterilebilir uygulamalar bulunmaktadır." w:value="5"/>
                </w:dropDownList>
              </w:sdtPr>
              <w:sdtEndPr/>
              <w:sdtContent>
                <w:r w:rsidR="00680A42" w:rsidRPr="00327BC2">
                  <w:rPr>
                    <w:rStyle w:val="YerTutucuMetni"/>
                    <w:rFonts w:ascii="Times New Roman" w:hAnsi="Times New Roman" w:cs="Times New Roman"/>
                    <w:i/>
                    <w:sz w:val="24"/>
                    <w:szCs w:val="24"/>
                  </w:rPr>
                  <w:t>Bir öğe seçin.</w:t>
                </w:r>
              </w:sdtContent>
            </w:sdt>
          </w:p>
        </w:tc>
      </w:tr>
      <w:tr w:rsidR="00680A42" w:rsidRPr="00327BC2" w14:paraId="5B915FE0" w14:textId="77777777" w:rsidTr="00327BC2">
        <w:trPr>
          <w:trHeight w:val="618"/>
        </w:trPr>
        <w:tc>
          <w:tcPr>
            <w:tcW w:w="9773" w:type="dxa"/>
            <w:gridSpan w:val="4"/>
            <w:tcBorders>
              <w:top w:val="nil"/>
              <w:left w:val="nil"/>
              <w:bottom w:val="dotDash" w:sz="4" w:space="0" w:color="auto"/>
              <w:right w:val="nil"/>
            </w:tcBorders>
            <w:shd w:val="clear" w:color="auto" w:fill="auto"/>
            <w:tcMar>
              <w:top w:w="100" w:type="dxa"/>
              <w:left w:w="100" w:type="dxa"/>
              <w:bottom w:w="100" w:type="dxa"/>
              <w:right w:w="100" w:type="dxa"/>
            </w:tcMar>
          </w:tcPr>
          <w:p w14:paraId="38EDB829" w14:textId="77777777" w:rsidR="00680A42" w:rsidRPr="00327BC2" w:rsidRDefault="00680A42" w:rsidP="0041298C">
            <w:pPr>
              <w:widowControl w:val="0"/>
              <w:jc w:val="both"/>
              <w:rPr>
                <w:rFonts w:ascii="Times New Roman" w:hAnsi="Times New Roman" w:cs="Times New Roman"/>
                <w:i/>
                <w:iCs/>
                <w:color w:val="B7B7B7"/>
                <w:sz w:val="24"/>
                <w:szCs w:val="24"/>
                <w:u w:val="single"/>
              </w:rPr>
            </w:pPr>
            <w:r w:rsidRPr="00327BC2">
              <w:rPr>
                <w:rFonts w:ascii="Times New Roman" w:hAnsi="Times New Roman" w:cs="Times New Roman"/>
                <w:i/>
                <w:iCs/>
                <w:color w:val="B7B7B7"/>
                <w:sz w:val="24"/>
                <w:szCs w:val="24"/>
                <w:u w:val="single"/>
              </w:rPr>
              <w:t>İYTE Kalite Yönetim Rehberi’nden</w:t>
            </w:r>
          </w:p>
          <w:p w14:paraId="680F9D69" w14:textId="77777777" w:rsidR="00680A42" w:rsidRPr="00327BC2" w:rsidRDefault="00680A42" w:rsidP="0041298C">
            <w:pPr>
              <w:widowControl w:val="0"/>
              <w:spacing w:before="240" w:after="240"/>
              <w:jc w:val="both"/>
              <w:rPr>
                <w:rFonts w:ascii="Times New Roman" w:hAnsi="Times New Roman" w:cs="Times New Roman"/>
                <w:color w:val="B7B7B7"/>
                <w:sz w:val="24"/>
                <w:szCs w:val="24"/>
              </w:rPr>
            </w:pPr>
            <w:proofErr w:type="spellStart"/>
            <w:r w:rsidRPr="00327BC2">
              <w:rPr>
                <w:rFonts w:ascii="Times New Roman" w:hAnsi="Times New Roman" w:cs="Times New Roman"/>
                <w:color w:val="B7B7B7"/>
                <w:sz w:val="24"/>
                <w:szCs w:val="24"/>
              </w:rPr>
              <w:t>İYTE’de</w:t>
            </w:r>
            <w:proofErr w:type="spellEnd"/>
            <w:r w:rsidRPr="00327BC2">
              <w:rPr>
                <w:rFonts w:ascii="Times New Roman" w:hAnsi="Times New Roman" w:cs="Times New Roman"/>
                <w:color w:val="B7B7B7"/>
                <w:sz w:val="24"/>
                <w:szCs w:val="24"/>
              </w:rPr>
              <w:t xml:space="preserve"> lisansüstü eğitim süreçleri, ana bilim dalı başkanlıkları, Öğrenci İşleri Daire Başkanlığı ve Rektörlükle eş güdümlü olarak Lisansüstü Eğitim Enstitüsü (LEE) tarafından yürütülür (</w:t>
            </w:r>
            <w:proofErr w:type="spellStart"/>
            <w:r w:rsidRPr="00327BC2">
              <w:rPr>
                <w:rFonts w:ascii="Times New Roman" w:hAnsi="Times New Roman" w:cs="Times New Roman"/>
                <w:color w:val="B7B7B7"/>
                <w:sz w:val="24"/>
                <w:szCs w:val="24"/>
              </w:rPr>
              <w:t>LEE_web_sayfası</w:t>
            </w:r>
            <w:proofErr w:type="spellEnd"/>
            <w:r w:rsidRPr="00327BC2">
              <w:rPr>
                <w:rFonts w:ascii="Times New Roman" w:hAnsi="Times New Roman" w:cs="Times New Roman"/>
                <w:color w:val="B7B7B7"/>
                <w:sz w:val="24"/>
                <w:szCs w:val="24"/>
              </w:rPr>
              <w:t xml:space="preserve">). Doktora programlarına öğrenci kabulü lisans derecesiyle doktora başvurusu, yüksek lisans derecesiyle doktora başvurusu ve yatay geçiş yoluyla yapılır. Başvuru ve kabul süreci (ve diğer lisansüstü eğitim süreçleri) “İYTE Lisansüstü Eğitim Öğretim Yönetmeliği” ile güvence altına alınmış ve iş akışları hazırlanmıştır. Süreçle ilgili gerekli bilgiler zamanında ve güncel olarak </w:t>
            </w:r>
            <w:proofErr w:type="spellStart"/>
            <w:r w:rsidRPr="00327BC2">
              <w:rPr>
                <w:rFonts w:ascii="Times New Roman" w:hAnsi="Times New Roman" w:cs="Times New Roman"/>
                <w:color w:val="B7B7B7"/>
                <w:sz w:val="24"/>
                <w:szCs w:val="24"/>
              </w:rPr>
              <w:t>LEE’nin</w:t>
            </w:r>
            <w:proofErr w:type="spellEnd"/>
            <w:r w:rsidRPr="00327BC2">
              <w:rPr>
                <w:rFonts w:ascii="Times New Roman" w:hAnsi="Times New Roman" w:cs="Times New Roman"/>
                <w:color w:val="B7B7B7"/>
                <w:sz w:val="24"/>
                <w:szCs w:val="24"/>
              </w:rPr>
              <w:t xml:space="preserve"> sayfasında paylaşılır. Başvuru ve kabul süreci ile eğitim süreçleri, akademik takvimde belirtilen tarihlere göre yürütülür (</w:t>
            </w:r>
            <w:proofErr w:type="spellStart"/>
            <w:r w:rsidRPr="00327BC2">
              <w:rPr>
                <w:rFonts w:ascii="Times New Roman" w:hAnsi="Times New Roman" w:cs="Times New Roman"/>
                <w:color w:val="B7B7B7"/>
                <w:sz w:val="24"/>
                <w:szCs w:val="24"/>
              </w:rPr>
              <w:t>LEE_akademik_takvim</w:t>
            </w:r>
            <w:proofErr w:type="spellEnd"/>
            <w:r w:rsidRPr="00327BC2">
              <w:rPr>
                <w:rFonts w:ascii="Times New Roman" w:hAnsi="Times New Roman" w:cs="Times New Roman"/>
                <w:color w:val="B7B7B7"/>
                <w:sz w:val="24"/>
                <w:szCs w:val="24"/>
              </w:rPr>
              <w:t>). Doktora programlarına yabancı öğrenci başvuruları Uluslararası İlişkiler Ofisi tarafından yürütülmektedir. Doktora programlarına ilişkin istatistiki bilgiler, LEE tarafından her yıl hazırlanan faaliyet raporu aracılığıyla izlenir ve kamuoyuyla paylaşılır (</w:t>
            </w:r>
            <w:proofErr w:type="spellStart"/>
            <w:r w:rsidRPr="00327BC2">
              <w:rPr>
                <w:rFonts w:ascii="Times New Roman" w:hAnsi="Times New Roman" w:cs="Times New Roman"/>
                <w:color w:val="B7B7B7"/>
                <w:sz w:val="24"/>
                <w:szCs w:val="24"/>
              </w:rPr>
              <w:t>LEE_raporlar</w:t>
            </w:r>
            <w:proofErr w:type="spellEnd"/>
            <w:r w:rsidRPr="00327BC2">
              <w:rPr>
                <w:rFonts w:ascii="Times New Roman" w:hAnsi="Times New Roman" w:cs="Times New Roman"/>
                <w:color w:val="B7B7B7"/>
                <w:sz w:val="24"/>
                <w:szCs w:val="24"/>
              </w:rPr>
              <w:t xml:space="preserve">). Doktora programları, ihtiyaçlara uygun olarak ana bilim dallarının önerisi, Enstitü Kurulu ve Senato onayı ile güncellenir. Enstitünün kendi mezunlarını işe alma konusundaki yaklaşımı, “İYTE Minimum Akademik Yükseltme ve Atama Ölçütleri ile İlgili </w:t>
            </w:r>
            <w:proofErr w:type="spellStart"/>
            <w:r w:rsidRPr="00327BC2">
              <w:rPr>
                <w:rFonts w:ascii="Times New Roman" w:hAnsi="Times New Roman" w:cs="Times New Roman"/>
                <w:color w:val="B7B7B7"/>
                <w:sz w:val="24"/>
                <w:szCs w:val="24"/>
              </w:rPr>
              <w:t>Esaslar”da</w:t>
            </w:r>
            <w:proofErr w:type="spellEnd"/>
            <w:r w:rsidRPr="00327BC2">
              <w:rPr>
                <w:rFonts w:ascii="Times New Roman" w:hAnsi="Times New Roman" w:cs="Times New Roman"/>
                <w:color w:val="B7B7B7"/>
                <w:sz w:val="24"/>
                <w:szCs w:val="24"/>
              </w:rPr>
              <w:t xml:space="preserve"> belirtilir.</w:t>
            </w:r>
          </w:p>
          <w:p w14:paraId="6A944F77" w14:textId="77777777" w:rsidR="00680A42" w:rsidRPr="00327BC2" w:rsidRDefault="00680A42"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t xml:space="preserve">Enstitüde, doktora sonrası araştırmacıların </w:t>
            </w:r>
            <w:proofErr w:type="spellStart"/>
            <w:r w:rsidRPr="00327BC2">
              <w:rPr>
                <w:rFonts w:ascii="Times New Roman" w:hAnsi="Times New Roman" w:cs="Times New Roman"/>
                <w:color w:val="B7B7B7"/>
                <w:sz w:val="24"/>
                <w:szCs w:val="24"/>
              </w:rPr>
              <w:t>İYTE’yi</w:t>
            </w:r>
            <w:proofErr w:type="spellEnd"/>
            <w:r w:rsidRPr="00327BC2">
              <w:rPr>
                <w:rFonts w:ascii="Times New Roman" w:hAnsi="Times New Roman" w:cs="Times New Roman"/>
                <w:color w:val="B7B7B7"/>
                <w:sz w:val="24"/>
                <w:szCs w:val="24"/>
              </w:rPr>
              <w:t xml:space="preserve"> tercih etmesinde avantaj sağlayacak doktora sonrası (post-</w:t>
            </w:r>
            <w:proofErr w:type="spellStart"/>
            <w:r w:rsidRPr="00327BC2">
              <w:rPr>
                <w:rFonts w:ascii="Times New Roman" w:hAnsi="Times New Roman" w:cs="Times New Roman"/>
                <w:color w:val="B7B7B7"/>
                <w:sz w:val="24"/>
                <w:szCs w:val="24"/>
              </w:rPr>
              <w:t>doc</w:t>
            </w:r>
            <w:proofErr w:type="spellEnd"/>
            <w:r w:rsidRPr="00327BC2">
              <w:rPr>
                <w:rFonts w:ascii="Times New Roman" w:hAnsi="Times New Roman" w:cs="Times New Roman"/>
                <w:color w:val="B7B7B7"/>
                <w:sz w:val="24"/>
                <w:szCs w:val="24"/>
              </w:rPr>
              <w:t>) imkânlar sunulur. Enstitü, araştırma öncelikleri kapsamındaki faaliyetleri için gerekli fiziki/teknik altyapının ve mali kaynakların oluşturulmasına ve uygun şekilde kullanılmasına yönelik politikalara sahiptir. Uluslararası kurum ve kuruluşlarla daha yakın iş birlikleri sağlayacak, araştırmacılarımızla öğrencilerimizin etkileşimlerini artıracak, bölgesel ve ulusal sanayi ile eşgüdümlü, hedefe yönelik araştırmaların oranını artıracak çalışmaların yapılması teşvik edilir. Bu yöndeki teşviklerden biri, “İzmir Yüksek Teknoloji Enstitüsü Misafir Araştırmacı Kabul ve Uygulama Yönergesi” ile Enstitü kadrosunda olmayan araştırmacıların, mevzuatta belirlenen esaslar çerçevesinde, doktora sonrası araştırmacı olarak Enstitüde çalışmalarını sürdürebilmelerine imkân sağlanmasıdır.</w:t>
            </w:r>
          </w:p>
          <w:p w14:paraId="01070778" w14:textId="77777777" w:rsidR="00680A42" w:rsidRPr="00327BC2" w:rsidRDefault="00680A42"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t xml:space="preserve">Enstitünün doktora sonrası araştırmacıları için sağladığı diğer bir teşvik, TAM kredisidir. Başvuruda bulunan tüm öğretim üyelerine test ve analizlerde kullanmaları için tahsis edilen TAM Araştırma Kredisine 2022 yılından itibaren doktora sonrası araştırmacılar da başvurabilmektedir (TAM kredisiyle ilgili detaylar raporun “C.1.2.İç ve dış kaynaklar” bölümünde verilmiştir). TWAS UNESCO Mükemmeliyet Merkezi statüsünde olan </w:t>
            </w:r>
            <w:proofErr w:type="spellStart"/>
            <w:r w:rsidRPr="00327BC2">
              <w:rPr>
                <w:rFonts w:ascii="Times New Roman" w:hAnsi="Times New Roman" w:cs="Times New Roman"/>
                <w:color w:val="B7B7B7"/>
                <w:sz w:val="24"/>
                <w:szCs w:val="24"/>
              </w:rPr>
              <w:t>TAM’da</w:t>
            </w:r>
            <w:proofErr w:type="spellEnd"/>
            <w:r w:rsidRPr="00327BC2">
              <w:rPr>
                <w:rFonts w:ascii="Times New Roman" w:hAnsi="Times New Roman" w:cs="Times New Roman"/>
                <w:color w:val="B7B7B7"/>
                <w:sz w:val="24"/>
                <w:szCs w:val="24"/>
              </w:rPr>
              <w:t xml:space="preserve">, TWAS kapsamında </w:t>
            </w:r>
            <w:proofErr w:type="spellStart"/>
            <w:r w:rsidRPr="00327BC2">
              <w:rPr>
                <w:rFonts w:ascii="Times New Roman" w:hAnsi="Times New Roman" w:cs="Times New Roman"/>
                <w:color w:val="B7B7B7"/>
                <w:sz w:val="24"/>
                <w:szCs w:val="24"/>
              </w:rPr>
              <w:t>İYTE’ye</w:t>
            </w:r>
            <w:proofErr w:type="spellEnd"/>
            <w:r w:rsidRPr="00327BC2">
              <w:rPr>
                <w:rFonts w:ascii="Times New Roman" w:hAnsi="Times New Roman" w:cs="Times New Roman"/>
                <w:color w:val="B7B7B7"/>
                <w:sz w:val="24"/>
                <w:szCs w:val="24"/>
              </w:rPr>
              <w:t xml:space="preserve"> gelen tüm dış araştırmacılara test ve analiz hizmetlerinden yararlanması için destekler de verilebilmektedir. Enstitüyü ziyaret edecek olan araştırmacıların TAM altyapısını rahatlıkla kullanabilmeleri için çalıştıkları öğretim üyelerine doktora sonrası araştırmacı katsayısı dikkate alınarak TAM Kredisi tahsisi yapılır.</w:t>
            </w:r>
          </w:p>
          <w:p w14:paraId="540EEC70" w14:textId="20925EFC" w:rsidR="003D361A" w:rsidRPr="00327BC2" w:rsidRDefault="00680A42" w:rsidP="00327BC2">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t xml:space="preserve">Doktora öğrencilerine ve mezunlarına Teknopark İzmir bünyesinde de imkânlar sağlanır. AR-GE firmalarında İYTE doktora öğrencileri tam ve yarı zamanlı çalışma, doktora süresince veya sonrasında kendi AR-GE firmalarını kurabilme ve indirimli ofis kiralama imkânları sunulur. Doktora </w:t>
            </w:r>
            <w:r w:rsidRPr="00327BC2">
              <w:rPr>
                <w:rFonts w:ascii="Times New Roman" w:hAnsi="Times New Roman" w:cs="Times New Roman"/>
                <w:color w:val="B7B7B7"/>
                <w:sz w:val="24"/>
                <w:szCs w:val="24"/>
              </w:rPr>
              <w:lastRenderedPageBreak/>
              <w:t>öğrencisi istihdam eden firmalara da mevzuat dâhilinde birtakım teşvikler sağlanarak doktora öğrencilerinin ist</w:t>
            </w:r>
            <w:r w:rsidR="00327BC2" w:rsidRPr="00327BC2">
              <w:rPr>
                <w:rFonts w:ascii="Times New Roman" w:hAnsi="Times New Roman" w:cs="Times New Roman"/>
                <w:color w:val="B7B7B7"/>
                <w:sz w:val="24"/>
                <w:szCs w:val="24"/>
              </w:rPr>
              <w:t>ihdam edilmesine katkı sağlanır.</w:t>
            </w:r>
          </w:p>
        </w:tc>
      </w:tr>
      <w:tr w:rsidR="00680A42" w:rsidRPr="00327BC2" w14:paraId="77878FDF" w14:textId="77777777" w:rsidTr="00327BC2">
        <w:trPr>
          <w:trHeight w:val="420"/>
        </w:trPr>
        <w:tc>
          <w:tcPr>
            <w:tcW w:w="9773" w:type="dxa"/>
            <w:gridSpan w:val="4"/>
            <w:tcBorders>
              <w:top w:val="dotDash" w:sz="4" w:space="0" w:color="auto"/>
              <w:left w:val="dotDash" w:sz="4" w:space="0" w:color="auto"/>
              <w:bottom w:val="dotDash" w:sz="4" w:space="0" w:color="auto"/>
              <w:right w:val="dotDash" w:sz="4" w:space="0" w:color="auto"/>
            </w:tcBorders>
            <w:shd w:val="clear" w:color="auto" w:fill="auto"/>
            <w:tcMar>
              <w:top w:w="100" w:type="dxa"/>
              <w:left w:w="100" w:type="dxa"/>
              <w:bottom w:w="100" w:type="dxa"/>
              <w:right w:w="100" w:type="dxa"/>
            </w:tcMar>
          </w:tcPr>
          <w:p w14:paraId="52003D20" w14:textId="05F57465" w:rsidR="00680A42" w:rsidRPr="00327BC2" w:rsidRDefault="00AE03C3" w:rsidP="00327BC2">
            <w:pPr>
              <w:widowControl w:val="0"/>
              <w:pBdr>
                <w:top w:val="nil"/>
                <w:left w:val="nil"/>
                <w:bottom w:val="nil"/>
                <w:right w:val="nil"/>
                <w:between w:val="nil"/>
              </w:pBdr>
              <w:spacing w:line="240" w:lineRule="auto"/>
              <w:rPr>
                <w:rFonts w:ascii="Times New Roman" w:hAnsi="Times New Roman" w:cs="Times New Roman"/>
                <w:sz w:val="24"/>
                <w:szCs w:val="24"/>
                <w:u w:val="single"/>
              </w:rPr>
            </w:pPr>
            <w:proofErr w:type="gramStart"/>
            <w:r w:rsidRPr="00AE03C3">
              <w:rPr>
                <w:rFonts w:ascii="Times New Roman" w:hAnsi="Times New Roman" w:cs="Times New Roman"/>
                <w:sz w:val="24"/>
                <w:szCs w:val="24"/>
                <w:highlight w:val="yellow"/>
                <w:u w:val="single"/>
              </w:rPr>
              <w:lastRenderedPageBreak/>
              <w:t>.....</w:t>
            </w:r>
            <w:proofErr w:type="gramEnd"/>
            <w:r w:rsidRPr="00327BC2">
              <w:rPr>
                <w:rFonts w:ascii="Times New Roman" w:hAnsi="Times New Roman" w:cs="Times New Roman"/>
                <w:sz w:val="24"/>
                <w:szCs w:val="24"/>
                <w:u w:val="single"/>
              </w:rPr>
              <w:t xml:space="preserve"> </w:t>
            </w:r>
            <w:r w:rsidR="00680A42" w:rsidRPr="00327BC2">
              <w:rPr>
                <w:rFonts w:ascii="Times New Roman" w:hAnsi="Times New Roman" w:cs="Times New Roman"/>
                <w:sz w:val="24"/>
                <w:szCs w:val="24"/>
                <w:u w:val="single"/>
              </w:rPr>
              <w:t>Yılı Faaliyetleri, Uygulamaları ve İyileştirmeleri</w:t>
            </w:r>
          </w:p>
          <w:p w14:paraId="2258303B" w14:textId="77777777" w:rsidR="00327BC2" w:rsidRDefault="00327BC2" w:rsidP="00327BC2">
            <w:pPr>
              <w:widowControl w:val="0"/>
              <w:pBdr>
                <w:top w:val="nil"/>
                <w:left w:val="nil"/>
                <w:bottom w:val="nil"/>
                <w:right w:val="nil"/>
                <w:between w:val="nil"/>
              </w:pBdr>
              <w:spacing w:line="240" w:lineRule="auto"/>
              <w:rPr>
                <w:rFonts w:ascii="Times New Roman" w:hAnsi="Times New Roman" w:cs="Times New Roman"/>
                <w:color w:val="FF0000"/>
                <w:sz w:val="24"/>
                <w:szCs w:val="24"/>
                <w:u w:val="single"/>
              </w:rPr>
            </w:pPr>
          </w:p>
          <w:p w14:paraId="09D2EFCD" w14:textId="77777777" w:rsidR="00327BC2" w:rsidRDefault="00327BC2" w:rsidP="00327BC2">
            <w:pPr>
              <w:widowControl w:val="0"/>
              <w:pBdr>
                <w:top w:val="nil"/>
                <w:left w:val="nil"/>
                <w:bottom w:val="nil"/>
                <w:right w:val="nil"/>
                <w:between w:val="nil"/>
              </w:pBdr>
              <w:spacing w:line="240" w:lineRule="auto"/>
              <w:rPr>
                <w:rFonts w:ascii="Times New Roman" w:hAnsi="Times New Roman" w:cs="Times New Roman"/>
                <w:color w:val="FF0000"/>
                <w:sz w:val="24"/>
                <w:szCs w:val="24"/>
                <w:u w:val="single"/>
              </w:rPr>
            </w:pPr>
          </w:p>
          <w:p w14:paraId="6D155B96" w14:textId="77777777" w:rsidR="00327BC2" w:rsidRDefault="00327BC2" w:rsidP="00327BC2">
            <w:pPr>
              <w:widowControl w:val="0"/>
              <w:pBdr>
                <w:top w:val="nil"/>
                <w:left w:val="nil"/>
                <w:bottom w:val="nil"/>
                <w:right w:val="nil"/>
                <w:between w:val="nil"/>
              </w:pBdr>
              <w:spacing w:line="240" w:lineRule="auto"/>
              <w:rPr>
                <w:rFonts w:ascii="Times New Roman" w:hAnsi="Times New Roman" w:cs="Times New Roman"/>
                <w:color w:val="FF0000"/>
                <w:sz w:val="24"/>
                <w:szCs w:val="24"/>
                <w:u w:val="single"/>
              </w:rPr>
            </w:pPr>
          </w:p>
          <w:p w14:paraId="081A9A6F" w14:textId="77777777" w:rsidR="000E1028" w:rsidRDefault="000E1028" w:rsidP="00327BC2">
            <w:pPr>
              <w:widowControl w:val="0"/>
              <w:pBdr>
                <w:top w:val="nil"/>
                <w:left w:val="nil"/>
                <w:bottom w:val="nil"/>
                <w:right w:val="nil"/>
                <w:between w:val="nil"/>
              </w:pBdr>
              <w:spacing w:line="240" w:lineRule="auto"/>
              <w:rPr>
                <w:rFonts w:ascii="Times New Roman" w:hAnsi="Times New Roman" w:cs="Times New Roman"/>
                <w:color w:val="FF0000"/>
                <w:sz w:val="24"/>
                <w:szCs w:val="24"/>
                <w:u w:val="single"/>
              </w:rPr>
            </w:pPr>
          </w:p>
          <w:p w14:paraId="11D01A24" w14:textId="67677C5B" w:rsidR="000E1028" w:rsidRPr="00327BC2" w:rsidRDefault="000E1028" w:rsidP="00327BC2">
            <w:pPr>
              <w:widowControl w:val="0"/>
              <w:pBdr>
                <w:top w:val="nil"/>
                <w:left w:val="nil"/>
                <w:bottom w:val="nil"/>
                <w:right w:val="nil"/>
                <w:between w:val="nil"/>
              </w:pBdr>
              <w:spacing w:line="240" w:lineRule="auto"/>
              <w:rPr>
                <w:rFonts w:ascii="Times New Roman" w:hAnsi="Times New Roman" w:cs="Times New Roman"/>
                <w:color w:val="FF0000"/>
                <w:sz w:val="24"/>
                <w:szCs w:val="24"/>
                <w:u w:val="single"/>
              </w:rPr>
            </w:pPr>
          </w:p>
        </w:tc>
      </w:tr>
    </w:tbl>
    <w:p w14:paraId="2BD31A01" w14:textId="77777777" w:rsidR="00327BC2" w:rsidRDefault="00327BC2" w:rsidP="00327BC2">
      <w:pPr>
        <w:spacing w:after="240"/>
        <w:rPr>
          <w:rFonts w:ascii="Times New Roman" w:hAnsi="Times New Roman" w:cs="Times New Roman"/>
          <w:b/>
          <w:sz w:val="24"/>
          <w:szCs w:val="24"/>
        </w:rPr>
      </w:pPr>
    </w:p>
    <w:p w14:paraId="059108A3" w14:textId="77777777" w:rsidR="00327BC2" w:rsidRDefault="00327BC2" w:rsidP="00327BC2">
      <w:pPr>
        <w:spacing w:after="240"/>
        <w:rPr>
          <w:rFonts w:ascii="Times New Roman" w:hAnsi="Times New Roman" w:cs="Times New Roman"/>
          <w:b/>
          <w:sz w:val="24"/>
          <w:szCs w:val="24"/>
        </w:rPr>
      </w:pPr>
    </w:p>
    <w:p w14:paraId="627C135F" w14:textId="77777777" w:rsidR="00327BC2" w:rsidRDefault="00327BC2" w:rsidP="00327BC2">
      <w:pPr>
        <w:spacing w:after="240"/>
        <w:rPr>
          <w:rFonts w:ascii="Times New Roman" w:hAnsi="Times New Roman" w:cs="Times New Roman"/>
          <w:b/>
          <w:sz w:val="24"/>
          <w:szCs w:val="24"/>
        </w:rPr>
      </w:pPr>
    </w:p>
    <w:p w14:paraId="143CB0A5" w14:textId="77777777" w:rsidR="00327BC2" w:rsidRDefault="00327BC2" w:rsidP="00327BC2">
      <w:pPr>
        <w:spacing w:after="240"/>
        <w:rPr>
          <w:rFonts w:ascii="Times New Roman" w:hAnsi="Times New Roman" w:cs="Times New Roman"/>
          <w:b/>
          <w:sz w:val="24"/>
          <w:szCs w:val="24"/>
        </w:rPr>
      </w:pPr>
    </w:p>
    <w:p w14:paraId="09C9C8E8" w14:textId="77777777" w:rsidR="00327BC2" w:rsidRDefault="00327BC2" w:rsidP="00327BC2">
      <w:pPr>
        <w:spacing w:after="240"/>
        <w:rPr>
          <w:rFonts w:ascii="Times New Roman" w:hAnsi="Times New Roman" w:cs="Times New Roman"/>
          <w:b/>
          <w:sz w:val="24"/>
          <w:szCs w:val="24"/>
        </w:rPr>
      </w:pPr>
    </w:p>
    <w:p w14:paraId="66593075" w14:textId="77777777" w:rsidR="00327BC2" w:rsidRDefault="00327BC2" w:rsidP="00327BC2">
      <w:pPr>
        <w:spacing w:after="240"/>
        <w:rPr>
          <w:rFonts w:ascii="Times New Roman" w:hAnsi="Times New Roman" w:cs="Times New Roman"/>
          <w:b/>
          <w:sz w:val="24"/>
          <w:szCs w:val="24"/>
        </w:rPr>
      </w:pPr>
    </w:p>
    <w:p w14:paraId="004DDBCB" w14:textId="77777777" w:rsidR="00327BC2" w:rsidRDefault="00327BC2" w:rsidP="00327BC2">
      <w:pPr>
        <w:spacing w:after="240"/>
        <w:rPr>
          <w:rFonts w:ascii="Times New Roman" w:hAnsi="Times New Roman" w:cs="Times New Roman"/>
          <w:b/>
          <w:sz w:val="24"/>
          <w:szCs w:val="24"/>
        </w:rPr>
      </w:pPr>
    </w:p>
    <w:p w14:paraId="7E8E0257" w14:textId="77777777" w:rsidR="00327BC2" w:rsidRDefault="00327BC2" w:rsidP="00327BC2">
      <w:pPr>
        <w:spacing w:after="240"/>
        <w:rPr>
          <w:rFonts w:ascii="Times New Roman" w:hAnsi="Times New Roman" w:cs="Times New Roman"/>
          <w:b/>
          <w:sz w:val="24"/>
          <w:szCs w:val="24"/>
        </w:rPr>
      </w:pPr>
    </w:p>
    <w:p w14:paraId="042FEB1B" w14:textId="77777777" w:rsidR="00327BC2" w:rsidRDefault="00327BC2" w:rsidP="00327BC2">
      <w:pPr>
        <w:spacing w:after="240"/>
        <w:rPr>
          <w:rFonts w:ascii="Times New Roman" w:hAnsi="Times New Roman" w:cs="Times New Roman"/>
          <w:b/>
          <w:sz w:val="24"/>
          <w:szCs w:val="24"/>
        </w:rPr>
      </w:pPr>
    </w:p>
    <w:p w14:paraId="6A8914FE" w14:textId="77777777" w:rsidR="00327BC2" w:rsidRDefault="00327BC2" w:rsidP="00327BC2">
      <w:pPr>
        <w:spacing w:after="240"/>
        <w:rPr>
          <w:rFonts w:ascii="Times New Roman" w:hAnsi="Times New Roman" w:cs="Times New Roman"/>
          <w:b/>
          <w:sz w:val="24"/>
          <w:szCs w:val="24"/>
        </w:rPr>
      </w:pPr>
    </w:p>
    <w:p w14:paraId="5445D6F3" w14:textId="77777777" w:rsidR="00327BC2" w:rsidRDefault="00327BC2" w:rsidP="00327BC2">
      <w:pPr>
        <w:spacing w:after="240"/>
        <w:rPr>
          <w:rFonts w:ascii="Times New Roman" w:hAnsi="Times New Roman" w:cs="Times New Roman"/>
          <w:b/>
          <w:sz w:val="24"/>
          <w:szCs w:val="24"/>
        </w:rPr>
      </w:pPr>
    </w:p>
    <w:p w14:paraId="3406BADA" w14:textId="77777777" w:rsidR="00327BC2" w:rsidRDefault="00327BC2" w:rsidP="00327BC2">
      <w:pPr>
        <w:spacing w:after="240"/>
        <w:rPr>
          <w:rFonts w:ascii="Times New Roman" w:hAnsi="Times New Roman" w:cs="Times New Roman"/>
          <w:b/>
          <w:sz w:val="24"/>
          <w:szCs w:val="24"/>
        </w:rPr>
      </w:pPr>
    </w:p>
    <w:p w14:paraId="4F325102" w14:textId="77777777" w:rsidR="00327BC2" w:rsidRDefault="00327BC2" w:rsidP="00327BC2">
      <w:pPr>
        <w:spacing w:after="240"/>
        <w:rPr>
          <w:rFonts w:ascii="Times New Roman" w:hAnsi="Times New Roman" w:cs="Times New Roman"/>
          <w:b/>
          <w:sz w:val="24"/>
          <w:szCs w:val="24"/>
        </w:rPr>
      </w:pPr>
    </w:p>
    <w:p w14:paraId="247A6EB9" w14:textId="77777777" w:rsidR="00327BC2" w:rsidRDefault="00327BC2" w:rsidP="00327BC2">
      <w:pPr>
        <w:spacing w:after="240"/>
        <w:rPr>
          <w:rFonts w:ascii="Times New Roman" w:hAnsi="Times New Roman" w:cs="Times New Roman"/>
          <w:b/>
          <w:sz w:val="24"/>
          <w:szCs w:val="24"/>
        </w:rPr>
      </w:pPr>
    </w:p>
    <w:p w14:paraId="122925C4" w14:textId="77777777" w:rsidR="00327BC2" w:rsidRDefault="00327BC2" w:rsidP="00327BC2">
      <w:pPr>
        <w:spacing w:after="240"/>
        <w:rPr>
          <w:rFonts w:ascii="Times New Roman" w:hAnsi="Times New Roman" w:cs="Times New Roman"/>
          <w:b/>
          <w:sz w:val="24"/>
          <w:szCs w:val="24"/>
        </w:rPr>
      </w:pPr>
    </w:p>
    <w:p w14:paraId="7821A034" w14:textId="77777777" w:rsidR="00327BC2" w:rsidRDefault="00327BC2" w:rsidP="00327BC2">
      <w:pPr>
        <w:spacing w:after="240"/>
        <w:rPr>
          <w:rFonts w:ascii="Times New Roman" w:hAnsi="Times New Roman" w:cs="Times New Roman"/>
          <w:b/>
          <w:sz w:val="24"/>
          <w:szCs w:val="24"/>
        </w:rPr>
      </w:pPr>
    </w:p>
    <w:p w14:paraId="0D46C978" w14:textId="77777777" w:rsidR="00327BC2" w:rsidRDefault="00327BC2" w:rsidP="00327BC2">
      <w:pPr>
        <w:spacing w:after="240"/>
        <w:rPr>
          <w:rFonts w:ascii="Times New Roman" w:hAnsi="Times New Roman" w:cs="Times New Roman"/>
          <w:b/>
          <w:sz w:val="24"/>
          <w:szCs w:val="24"/>
        </w:rPr>
      </w:pPr>
    </w:p>
    <w:p w14:paraId="2A21FCF6" w14:textId="77777777" w:rsidR="00327BC2" w:rsidRDefault="00327BC2" w:rsidP="00327BC2">
      <w:pPr>
        <w:spacing w:after="240"/>
        <w:rPr>
          <w:rFonts w:ascii="Times New Roman" w:hAnsi="Times New Roman" w:cs="Times New Roman"/>
          <w:b/>
          <w:sz w:val="24"/>
          <w:szCs w:val="24"/>
        </w:rPr>
      </w:pPr>
    </w:p>
    <w:p w14:paraId="0AFDF177" w14:textId="77777777" w:rsidR="00327BC2" w:rsidRDefault="00327BC2" w:rsidP="00327BC2">
      <w:pPr>
        <w:spacing w:after="240"/>
        <w:rPr>
          <w:rFonts w:ascii="Times New Roman" w:hAnsi="Times New Roman" w:cs="Times New Roman"/>
          <w:b/>
          <w:sz w:val="24"/>
          <w:szCs w:val="24"/>
        </w:rPr>
      </w:pPr>
    </w:p>
    <w:p w14:paraId="6BD7EEBB" w14:textId="77777777" w:rsidR="00327BC2" w:rsidRDefault="00327BC2" w:rsidP="00327BC2">
      <w:pPr>
        <w:spacing w:after="240"/>
        <w:rPr>
          <w:rFonts w:ascii="Times New Roman" w:hAnsi="Times New Roman" w:cs="Times New Roman"/>
          <w:b/>
          <w:sz w:val="24"/>
          <w:szCs w:val="24"/>
        </w:rPr>
      </w:pPr>
    </w:p>
    <w:p w14:paraId="68E5F42E" w14:textId="55EE62CF" w:rsidR="00327BC2" w:rsidRPr="00327BC2" w:rsidRDefault="00327BC2" w:rsidP="00327BC2">
      <w:pPr>
        <w:spacing w:after="240"/>
        <w:rPr>
          <w:rFonts w:ascii="Times New Roman" w:hAnsi="Times New Roman" w:cs="Times New Roman"/>
          <w:b/>
          <w:sz w:val="24"/>
          <w:szCs w:val="24"/>
        </w:rPr>
      </w:pPr>
      <w:r w:rsidRPr="00327BC2">
        <w:rPr>
          <w:rFonts w:ascii="Times New Roman" w:hAnsi="Times New Roman" w:cs="Times New Roman"/>
          <w:b/>
          <w:sz w:val="24"/>
          <w:szCs w:val="24"/>
        </w:rPr>
        <w:lastRenderedPageBreak/>
        <w:t>C.2. Araştırma Yetkinliği, İş birlikleri ve Destekler</w:t>
      </w:r>
    </w:p>
    <w:tbl>
      <w:tblPr>
        <w:tblW w:w="9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59"/>
        <w:gridCol w:w="2005"/>
        <w:gridCol w:w="284"/>
        <w:gridCol w:w="6525"/>
      </w:tblGrid>
      <w:tr w:rsidR="00680A42" w:rsidRPr="00327BC2" w14:paraId="71D808A8" w14:textId="77777777" w:rsidTr="00327BC2">
        <w:tc>
          <w:tcPr>
            <w:tcW w:w="959" w:type="dxa"/>
            <w:tcBorders>
              <w:top w:val="nil"/>
              <w:left w:val="nil"/>
              <w:bottom w:val="nil"/>
              <w:right w:val="nil"/>
            </w:tcBorders>
            <w:shd w:val="clear" w:color="auto" w:fill="auto"/>
            <w:tcMar>
              <w:top w:w="100" w:type="dxa"/>
              <w:left w:w="100" w:type="dxa"/>
              <w:bottom w:w="100" w:type="dxa"/>
              <w:right w:w="100" w:type="dxa"/>
            </w:tcMar>
          </w:tcPr>
          <w:p w14:paraId="49FF332F" w14:textId="0F49E833" w:rsidR="00680A42" w:rsidRPr="00327BC2" w:rsidRDefault="00327BC2" w:rsidP="00327BC2">
            <w:pPr>
              <w:widowControl w:val="0"/>
              <w:pBdr>
                <w:top w:val="nil"/>
                <w:left w:val="nil"/>
                <w:bottom w:val="nil"/>
                <w:right w:val="nil"/>
                <w:between w:val="nil"/>
              </w:pBdr>
              <w:spacing w:line="240" w:lineRule="auto"/>
              <w:rPr>
                <w:rFonts w:ascii="Times New Roman" w:hAnsi="Times New Roman" w:cs="Times New Roman"/>
                <w:b/>
                <w:sz w:val="24"/>
                <w:szCs w:val="24"/>
              </w:rPr>
            </w:pPr>
            <w:r w:rsidRPr="00327BC2">
              <w:rPr>
                <w:rFonts w:ascii="Times New Roman" w:hAnsi="Times New Roman" w:cs="Times New Roman"/>
                <w:b/>
                <w:sz w:val="24"/>
                <w:szCs w:val="24"/>
              </w:rPr>
              <w:t xml:space="preserve"> </w:t>
            </w:r>
            <w:r w:rsidR="00680A42" w:rsidRPr="00327BC2">
              <w:rPr>
                <w:rFonts w:ascii="Times New Roman" w:hAnsi="Times New Roman" w:cs="Times New Roman"/>
                <w:b/>
                <w:sz w:val="24"/>
                <w:szCs w:val="24"/>
              </w:rPr>
              <w:t>C.2.1.</w:t>
            </w:r>
          </w:p>
        </w:tc>
        <w:tc>
          <w:tcPr>
            <w:tcW w:w="8814" w:type="dxa"/>
            <w:gridSpan w:val="3"/>
            <w:tcBorders>
              <w:top w:val="nil"/>
              <w:left w:val="nil"/>
              <w:bottom w:val="nil"/>
              <w:right w:val="nil"/>
            </w:tcBorders>
            <w:shd w:val="clear" w:color="auto" w:fill="auto"/>
            <w:tcMar>
              <w:top w:w="100" w:type="dxa"/>
              <w:left w:w="100" w:type="dxa"/>
              <w:bottom w:w="100" w:type="dxa"/>
              <w:right w:w="100" w:type="dxa"/>
            </w:tcMar>
          </w:tcPr>
          <w:p w14:paraId="54B65497" w14:textId="0BAF4229" w:rsidR="00680A42" w:rsidRPr="00327BC2" w:rsidRDefault="00680A42" w:rsidP="0041298C">
            <w:pPr>
              <w:widowControl w:val="0"/>
              <w:pBdr>
                <w:top w:val="nil"/>
                <w:left w:val="nil"/>
                <w:bottom w:val="nil"/>
                <w:right w:val="nil"/>
                <w:between w:val="nil"/>
              </w:pBdr>
              <w:spacing w:line="240" w:lineRule="auto"/>
              <w:rPr>
                <w:rFonts w:ascii="Times New Roman" w:hAnsi="Times New Roman" w:cs="Times New Roman"/>
                <w:b/>
                <w:sz w:val="24"/>
                <w:szCs w:val="24"/>
              </w:rPr>
            </w:pPr>
            <w:r w:rsidRPr="00327BC2">
              <w:rPr>
                <w:rFonts w:ascii="Times New Roman" w:hAnsi="Times New Roman" w:cs="Times New Roman"/>
                <w:b/>
                <w:sz w:val="24"/>
                <w:szCs w:val="24"/>
              </w:rPr>
              <w:t>Araştırma yetkinlikleri ve gelişimi</w:t>
            </w:r>
          </w:p>
        </w:tc>
      </w:tr>
      <w:tr w:rsidR="00680A42" w:rsidRPr="00327BC2" w14:paraId="50CC4A4B" w14:textId="77777777" w:rsidTr="00327BC2">
        <w:trPr>
          <w:trHeight w:val="191"/>
        </w:trPr>
        <w:tc>
          <w:tcPr>
            <w:tcW w:w="959" w:type="dxa"/>
            <w:tcBorders>
              <w:top w:val="nil"/>
              <w:left w:val="nil"/>
              <w:bottom w:val="nil"/>
              <w:right w:val="nil"/>
            </w:tcBorders>
            <w:shd w:val="clear" w:color="auto" w:fill="auto"/>
            <w:tcMar>
              <w:top w:w="100" w:type="dxa"/>
              <w:left w:w="100" w:type="dxa"/>
              <w:bottom w:w="100" w:type="dxa"/>
              <w:right w:w="100" w:type="dxa"/>
            </w:tcMar>
          </w:tcPr>
          <w:p w14:paraId="07D11324" w14:textId="77777777" w:rsidR="00680A42" w:rsidRPr="00327BC2" w:rsidRDefault="00680A42" w:rsidP="0041298C">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nil"/>
              <w:right w:val="nil"/>
            </w:tcBorders>
            <w:shd w:val="clear" w:color="auto" w:fill="auto"/>
            <w:tcMar>
              <w:top w:w="100" w:type="dxa"/>
              <w:left w:w="100" w:type="dxa"/>
              <w:bottom w:w="100" w:type="dxa"/>
              <w:right w:w="100" w:type="dxa"/>
            </w:tcMar>
          </w:tcPr>
          <w:p w14:paraId="7AD7F429" w14:textId="77777777" w:rsidR="00680A42" w:rsidRPr="00327BC2" w:rsidRDefault="00680A42" w:rsidP="0041298C">
            <w:pPr>
              <w:widowControl w:val="0"/>
              <w:pBdr>
                <w:top w:val="nil"/>
                <w:left w:val="nil"/>
                <w:bottom w:val="nil"/>
                <w:right w:val="nil"/>
                <w:between w:val="nil"/>
              </w:pBdr>
              <w:spacing w:line="240" w:lineRule="auto"/>
              <w:rPr>
                <w:rFonts w:ascii="Times New Roman" w:hAnsi="Times New Roman" w:cs="Times New Roman"/>
                <w:i/>
                <w:iCs/>
                <w:sz w:val="24"/>
                <w:szCs w:val="24"/>
              </w:rPr>
            </w:pPr>
            <w:r w:rsidRPr="00327BC2">
              <w:rPr>
                <w:rFonts w:ascii="Times New Roman" w:hAnsi="Times New Roman" w:cs="Times New Roman"/>
                <w:i/>
                <w:iCs/>
                <w:sz w:val="24"/>
                <w:szCs w:val="24"/>
              </w:rPr>
              <w:t>Olgunluk Düzeyi</w:t>
            </w:r>
          </w:p>
        </w:tc>
        <w:tc>
          <w:tcPr>
            <w:tcW w:w="284" w:type="dxa"/>
            <w:tcBorders>
              <w:top w:val="nil"/>
              <w:left w:val="nil"/>
              <w:bottom w:val="nil"/>
              <w:right w:val="nil"/>
            </w:tcBorders>
            <w:shd w:val="clear" w:color="auto" w:fill="auto"/>
          </w:tcPr>
          <w:p w14:paraId="49BECFEA" w14:textId="77777777" w:rsidR="00680A42" w:rsidRPr="00327BC2" w:rsidRDefault="00680A42" w:rsidP="0041298C">
            <w:pPr>
              <w:widowControl w:val="0"/>
              <w:pBdr>
                <w:top w:val="nil"/>
                <w:left w:val="nil"/>
                <w:bottom w:val="nil"/>
                <w:right w:val="nil"/>
                <w:between w:val="nil"/>
              </w:pBdr>
              <w:spacing w:line="240" w:lineRule="auto"/>
              <w:rPr>
                <w:rFonts w:ascii="Times New Roman" w:hAnsi="Times New Roman" w:cs="Times New Roman"/>
                <w:i/>
                <w:iCs/>
                <w:sz w:val="24"/>
                <w:szCs w:val="24"/>
              </w:rPr>
            </w:pPr>
            <w:r w:rsidRPr="00327BC2">
              <w:rPr>
                <w:rFonts w:ascii="Times New Roman" w:hAnsi="Times New Roman" w:cs="Times New Roman"/>
                <w:i/>
                <w:iCs/>
                <w:sz w:val="24"/>
                <w:szCs w:val="24"/>
              </w:rPr>
              <w:t>:</w:t>
            </w:r>
          </w:p>
        </w:tc>
        <w:tc>
          <w:tcPr>
            <w:tcW w:w="6525" w:type="dxa"/>
            <w:tcBorders>
              <w:top w:val="nil"/>
              <w:left w:val="nil"/>
              <w:bottom w:val="nil"/>
              <w:right w:val="nil"/>
            </w:tcBorders>
            <w:shd w:val="clear" w:color="auto" w:fill="F0E22C"/>
          </w:tcPr>
          <w:p w14:paraId="383B2A23" w14:textId="77777777" w:rsidR="00680A42" w:rsidRPr="00327BC2" w:rsidRDefault="00627D67" w:rsidP="0041298C">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768819271"/>
                <w:placeholder>
                  <w:docPart w:val="438F645EDE88445DAEF7759F162DA72F"/>
                </w:placeholder>
                <w:showingPlcHdr/>
                <w:dropDownList>
                  <w:listItem w:value="Bir öğe seçin."/>
                  <w:listItem w:displayText="1: Kurumda, öğretim elemanlarının araştırma yetkinliğinin geliştirilmesine yönelik mekanizmalar bulunmamaktadır." w:value="1"/>
                  <w:listItem w:displayText="2: Kurumda, öğretim elemanlarının araştırma yetkinliğinin geliştirilmesine yönelik planlar bulunmaktadır." w:value="2"/>
                  <w:listItem w:displayText="3: Kurumun genelinde öğretim elemanlarının araştırma yetkinliğinin geliştirilmesine yönelik uygulamalar yürütülmektedir. " w:value="3"/>
                  <w:listItem w:displayText="4: Kurumda, öğretim elemanlarının araştırma yetkinliğinin geliştirilmesine yönelik uygulamalar izlenmekte ve izlem sonuçları öğretim elemanları ile birlikte değerlendirilerek önlemler alınmaktadır." w:value="4"/>
                  <w:listItem w:displayText="5: İçselleştirilmiş, sistematik, sürdürülebilir ve örnek gösterilebilir uygulamalar bulunmaktadır." w:value="5"/>
                </w:dropDownList>
              </w:sdtPr>
              <w:sdtEndPr/>
              <w:sdtContent>
                <w:r w:rsidR="00680A42" w:rsidRPr="00327BC2">
                  <w:rPr>
                    <w:rStyle w:val="YerTutucuMetni"/>
                    <w:rFonts w:ascii="Times New Roman" w:hAnsi="Times New Roman" w:cs="Times New Roman"/>
                    <w:i/>
                    <w:sz w:val="24"/>
                    <w:szCs w:val="24"/>
                  </w:rPr>
                  <w:t>Bir öğe seçin.</w:t>
                </w:r>
              </w:sdtContent>
            </w:sdt>
          </w:p>
        </w:tc>
      </w:tr>
      <w:tr w:rsidR="00680A42" w:rsidRPr="00327BC2" w14:paraId="3A1A7369" w14:textId="77777777" w:rsidTr="00327BC2">
        <w:trPr>
          <w:trHeight w:val="6275"/>
        </w:trPr>
        <w:tc>
          <w:tcPr>
            <w:tcW w:w="9773" w:type="dxa"/>
            <w:gridSpan w:val="4"/>
            <w:tcBorders>
              <w:top w:val="nil"/>
              <w:left w:val="nil"/>
              <w:bottom w:val="dotDash" w:sz="4" w:space="0" w:color="auto"/>
              <w:right w:val="nil"/>
            </w:tcBorders>
            <w:shd w:val="clear" w:color="auto" w:fill="auto"/>
            <w:tcMar>
              <w:top w:w="100" w:type="dxa"/>
              <w:left w:w="100" w:type="dxa"/>
              <w:bottom w:w="100" w:type="dxa"/>
              <w:right w:w="100" w:type="dxa"/>
            </w:tcMar>
          </w:tcPr>
          <w:p w14:paraId="0164BA19" w14:textId="77777777" w:rsidR="00680A42" w:rsidRPr="00327BC2" w:rsidRDefault="00680A42" w:rsidP="0041298C">
            <w:pPr>
              <w:widowControl w:val="0"/>
              <w:jc w:val="both"/>
              <w:rPr>
                <w:rFonts w:ascii="Times New Roman" w:hAnsi="Times New Roman" w:cs="Times New Roman"/>
                <w:i/>
                <w:iCs/>
                <w:color w:val="B7B7B7"/>
                <w:sz w:val="24"/>
                <w:szCs w:val="24"/>
                <w:u w:val="single"/>
              </w:rPr>
            </w:pPr>
            <w:r w:rsidRPr="00327BC2">
              <w:rPr>
                <w:rFonts w:ascii="Times New Roman" w:hAnsi="Times New Roman" w:cs="Times New Roman"/>
                <w:i/>
                <w:iCs/>
                <w:color w:val="B7B7B7"/>
                <w:sz w:val="24"/>
                <w:szCs w:val="24"/>
                <w:u w:val="single"/>
              </w:rPr>
              <w:t>İYTE Kalite Yönetim Rehberi’nden</w:t>
            </w:r>
          </w:p>
          <w:p w14:paraId="59AC14AB" w14:textId="77777777" w:rsidR="00680A42" w:rsidRPr="00327BC2" w:rsidRDefault="00680A42"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t>Enstitüde araştırmacı insan kaynağının araştırma yetkinliklerinin gelişmesi için sistematik faaliyetler gerçekleştirilmektedir.</w:t>
            </w:r>
          </w:p>
          <w:p w14:paraId="2F32376F" w14:textId="77777777" w:rsidR="00680A42" w:rsidRPr="00327BC2" w:rsidRDefault="00680A42"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t>Araştırmalar Direktörlüğü</w:t>
            </w:r>
          </w:p>
          <w:p w14:paraId="5663D666" w14:textId="77777777" w:rsidR="00680A42" w:rsidRPr="00327BC2" w:rsidRDefault="00680A42"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t xml:space="preserve">Enstitünün araştırma </w:t>
            </w:r>
            <w:proofErr w:type="gramStart"/>
            <w:r w:rsidRPr="00327BC2">
              <w:rPr>
                <w:rFonts w:ascii="Times New Roman" w:hAnsi="Times New Roman" w:cs="Times New Roman"/>
                <w:color w:val="B7B7B7"/>
                <w:sz w:val="24"/>
                <w:szCs w:val="24"/>
              </w:rPr>
              <w:t>profilinin</w:t>
            </w:r>
            <w:proofErr w:type="gramEnd"/>
            <w:r w:rsidRPr="00327BC2">
              <w:rPr>
                <w:rFonts w:ascii="Times New Roman" w:hAnsi="Times New Roman" w:cs="Times New Roman"/>
                <w:color w:val="B7B7B7"/>
                <w:sz w:val="24"/>
                <w:szCs w:val="24"/>
              </w:rPr>
              <w:t xml:space="preserve"> geliştirilmesi için BAP-K, AB projeleri kapsamında uygun çağrıları belirleyerek araştırmacılara duyurur, proje başvuru ve sözleşme süreçleri ile projelerin yürütülmesi aşamalarında araştırmacılara destek sağlar. Araştırmacılarla birebir çalışıp kurum çapında tanıtım etkinlikleri düzenleyerek başta AB projeleri olmak üzere farklı yurt içi ve yurt dışı fon kaynakları hakkında bilgilendirme faaliyetlerinde bulunur.</w:t>
            </w:r>
          </w:p>
          <w:p w14:paraId="36A3DAF5" w14:textId="77777777" w:rsidR="00680A42" w:rsidRPr="00327BC2" w:rsidRDefault="00680A42"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t xml:space="preserve">Teknopark İzmir’deki ilgili firma ve araştırmacılarla araştırma potansiyelini değerlendirme amaçlı toplantı ve özel görüşmeler organize edilir. TTO koordinasyonu </w:t>
            </w:r>
            <w:proofErr w:type="gramStart"/>
            <w:r w:rsidRPr="00327BC2">
              <w:rPr>
                <w:rFonts w:ascii="Times New Roman" w:hAnsi="Times New Roman" w:cs="Times New Roman"/>
                <w:color w:val="B7B7B7"/>
                <w:sz w:val="24"/>
                <w:szCs w:val="24"/>
              </w:rPr>
              <w:t>ile,</w:t>
            </w:r>
            <w:proofErr w:type="gramEnd"/>
            <w:r w:rsidRPr="00327BC2">
              <w:rPr>
                <w:rFonts w:ascii="Times New Roman" w:hAnsi="Times New Roman" w:cs="Times New Roman"/>
                <w:color w:val="B7B7B7"/>
                <w:sz w:val="24"/>
                <w:szCs w:val="24"/>
              </w:rPr>
              <w:t xml:space="preserve"> </w:t>
            </w:r>
            <w:proofErr w:type="spellStart"/>
            <w:r w:rsidRPr="00327BC2">
              <w:rPr>
                <w:rFonts w:ascii="Times New Roman" w:hAnsi="Times New Roman" w:cs="Times New Roman"/>
                <w:color w:val="B7B7B7"/>
                <w:sz w:val="24"/>
                <w:szCs w:val="24"/>
              </w:rPr>
              <w:t>İYTE’deki</w:t>
            </w:r>
            <w:proofErr w:type="spellEnd"/>
            <w:r w:rsidRPr="00327BC2">
              <w:rPr>
                <w:rFonts w:ascii="Times New Roman" w:hAnsi="Times New Roman" w:cs="Times New Roman"/>
                <w:color w:val="B7B7B7"/>
                <w:sz w:val="24"/>
                <w:szCs w:val="24"/>
              </w:rPr>
              <w:t xml:space="preserve"> araştırmacılar tarafından üretilen akademik bilginin ticarileşmesini ve teknoloji transferini sağlamak üzere planlamalar yapılır. Ticarileşme potansiyeline sahip araştırmaların Teknopark İzmir’de bulunan veya diğer AR-GE firmalarıyla eşleştirilmesi için çalışmalar yürütülür.</w:t>
            </w:r>
          </w:p>
          <w:p w14:paraId="520AD9A6" w14:textId="77777777" w:rsidR="00680A42" w:rsidRPr="00327BC2" w:rsidRDefault="00680A42"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t>TAM Direktörlüğü</w:t>
            </w:r>
          </w:p>
          <w:p w14:paraId="63B91192" w14:textId="77777777" w:rsidR="00680A42" w:rsidRPr="00327BC2" w:rsidRDefault="00680A42"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t>TAM bünyesindeki merkezler, araştırmacıların araştırma yetkinliklerini geliştirmek için iç ve dış paydaşlara eğitim ve sertifika programları açar. TAM bünyesinde faaliyette bulunan Sürekli Eğitim Merkezi bu programların duyurulmasında, erişiminde ve organizasyonunda büyük kolaylık sağlarken programlara kurumsallık kazandırır.</w:t>
            </w:r>
          </w:p>
          <w:p w14:paraId="439FBFAF" w14:textId="77777777" w:rsidR="00680A42" w:rsidRPr="00327BC2" w:rsidRDefault="00680A42"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t>Teknopark İzmir</w:t>
            </w:r>
          </w:p>
          <w:p w14:paraId="10C03E15" w14:textId="0E75A427" w:rsidR="00680A42" w:rsidRPr="00327BC2" w:rsidRDefault="003D361A"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t xml:space="preserve">Teknopark İzmir bünyesinde aktif ön kuluçka merkezi bulunur. Ön kuluçka hizmetleri kapsamında verilen temel destekler; girişimcilerin eğitimi, pazarlama ve iş geliştirme desteği, finansman bulma desteği, ulusal ve uluslararası destek programlarına yönelik danışmanlık hizmetleri, melek yatırımcı ve yatırımcı görüşmelerinin gerçekleştirilmesidir. Öğretim elemanlarına Teknopark İzmir’de şirket kurabilme, kurulu bir şirkete ortak olabilme veya kurulu bir şirkette görev alabilme imkânı sunulur. Teknopark İzmir bünyesinde şirketleşmesini tamamlamış girişimlere ücretsiz alt yapı desteği sunulurken kuluçka merkezlerinde girişimcilere indirimli ofisler, ücretsiz eğitim, </w:t>
            </w:r>
            <w:proofErr w:type="spellStart"/>
            <w:r w:rsidRPr="00327BC2">
              <w:rPr>
                <w:rFonts w:ascii="Times New Roman" w:hAnsi="Times New Roman" w:cs="Times New Roman"/>
                <w:color w:val="B7B7B7"/>
                <w:sz w:val="24"/>
                <w:szCs w:val="24"/>
              </w:rPr>
              <w:t>mentörlük</w:t>
            </w:r>
            <w:proofErr w:type="spellEnd"/>
            <w:r w:rsidRPr="00327BC2">
              <w:rPr>
                <w:rFonts w:ascii="Times New Roman" w:hAnsi="Times New Roman" w:cs="Times New Roman"/>
                <w:color w:val="B7B7B7"/>
                <w:sz w:val="24"/>
                <w:szCs w:val="24"/>
              </w:rPr>
              <w:t xml:space="preserve"> ve koçluk hizmetleri verilir. Ayrıca Öğretim Elemanları Teknopark İzmir bünyesindeki firmalar ile ortak proje yürütebilirler.</w:t>
            </w:r>
          </w:p>
        </w:tc>
      </w:tr>
      <w:tr w:rsidR="00680A42" w:rsidRPr="00327BC2" w14:paraId="4DDB770B" w14:textId="77777777" w:rsidTr="00327BC2">
        <w:trPr>
          <w:trHeight w:val="420"/>
        </w:trPr>
        <w:tc>
          <w:tcPr>
            <w:tcW w:w="9773" w:type="dxa"/>
            <w:gridSpan w:val="4"/>
            <w:tcBorders>
              <w:top w:val="dotDash" w:sz="4" w:space="0" w:color="auto"/>
              <w:left w:val="dotDash" w:sz="4" w:space="0" w:color="auto"/>
              <w:bottom w:val="dotDash" w:sz="4" w:space="0" w:color="auto"/>
              <w:right w:val="dotDash" w:sz="4" w:space="0" w:color="auto"/>
            </w:tcBorders>
            <w:shd w:val="clear" w:color="auto" w:fill="auto"/>
            <w:tcMar>
              <w:top w:w="100" w:type="dxa"/>
              <w:left w:w="100" w:type="dxa"/>
              <w:bottom w:w="100" w:type="dxa"/>
              <w:right w:w="100" w:type="dxa"/>
            </w:tcMar>
          </w:tcPr>
          <w:p w14:paraId="23CA5D6F" w14:textId="12AA7831" w:rsidR="00680A42" w:rsidRPr="00327BC2" w:rsidRDefault="00AE03C3" w:rsidP="0041298C">
            <w:pPr>
              <w:widowControl w:val="0"/>
              <w:pBdr>
                <w:top w:val="nil"/>
                <w:left w:val="nil"/>
                <w:bottom w:val="nil"/>
                <w:right w:val="nil"/>
                <w:between w:val="nil"/>
              </w:pBdr>
              <w:spacing w:line="240" w:lineRule="auto"/>
              <w:rPr>
                <w:rFonts w:ascii="Times New Roman" w:hAnsi="Times New Roman" w:cs="Times New Roman"/>
                <w:color w:val="FF0000"/>
                <w:sz w:val="24"/>
                <w:szCs w:val="24"/>
                <w:u w:val="single"/>
              </w:rPr>
            </w:pPr>
            <w:proofErr w:type="gramStart"/>
            <w:r w:rsidRPr="00AE03C3">
              <w:rPr>
                <w:rFonts w:ascii="Times New Roman" w:hAnsi="Times New Roman" w:cs="Times New Roman"/>
                <w:sz w:val="24"/>
                <w:szCs w:val="24"/>
                <w:highlight w:val="yellow"/>
                <w:u w:val="single"/>
              </w:rPr>
              <w:t>.....</w:t>
            </w:r>
            <w:proofErr w:type="gramEnd"/>
            <w:r w:rsidRPr="00327BC2">
              <w:rPr>
                <w:rFonts w:ascii="Times New Roman" w:hAnsi="Times New Roman" w:cs="Times New Roman"/>
                <w:sz w:val="24"/>
                <w:szCs w:val="24"/>
                <w:u w:val="single"/>
              </w:rPr>
              <w:t xml:space="preserve"> </w:t>
            </w:r>
            <w:r w:rsidR="00680A42" w:rsidRPr="000E1028">
              <w:rPr>
                <w:rFonts w:ascii="Times New Roman" w:hAnsi="Times New Roman" w:cs="Times New Roman"/>
                <w:sz w:val="24"/>
                <w:szCs w:val="24"/>
                <w:u w:val="single"/>
              </w:rPr>
              <w:t>Yılı Faaliyetleri, Uygulamaları ve İyileştirmeleri</w:t>
            </w:r>
          </w:p>
          <w:p w14:paraId="6907086F" w14:textId="06B2F963" w:rsidR="00680A42" w:rsidRPr="00327BC2" w:rsidRDefault="00680A42" w:rsidP="0041298C">
            <w:pPr>
              <w:widowControl w:val="0"/>
              <w:pBdr>
                <w:top w:val="nil"/>
                <w:left w:val="nil"/>
                <w:bottom w:val="nil"/>
                <w:right w:val="nil"/>
                <w:between w:val="nil"/>
              </w:pBdr>
              <w:spacing w:line="240" w:lineRule="auto"/>
              <w:rPr>
                <w:rFonts w:ascii="Times New Roman" w:hAnsi="Times New Roman" w:cs="Times New Roman"/>
                <w:sz w:val="24"/>
                <w:szCs w:val="24"/>
              </w:rPr>
            </w:pPr>
          </w:p>
        </w:tc>
      </w:tr>
    </w:tbl>
    <w:p w14:paraId="13E1EC2F" w14:textId="77777777" w:rsidR="00327BC2" w:rsidRDefault="00327BC2"/>
    <w:tbl>
      <w:tblPr>
        <w:tblW w:w="9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59"/>
        <w:gridCol w:w="2005"/>
        <w:gridCol w:w="284"/>
        <w:gridCol w:w="6525"/>
      </w:tblGrid>
      <w:tr w:rsidR="003D361A" w:rsidRPr="00327BC2" w14:paraId="47255267" w14:textId="77777777" w:rsidTr="00327BC2">
        <w:tc>
          <w:tcPr>
            <w:tcW w:w="959" w:type="dxa"/>
            <w:tcBorders>
              <w:top w:val="nil"/>
              <w:left w:val="nil"/>
              <w:bottom w:val="nil"/>
              <w:right w:val="nil"/>
            </w:tcBorders>
            <w:shd w:val="clear" w:color="auto" w:fill="auto"/>
            <w:tcMar>
              <w:top w:w="100" w:type="dxa"/>
              <w:left w:w="100" w:type="dxa"/>
              <w:bottom w:w="100" w:type="dxa"/>
              <w:right w:w="100" w:type="dxa"/>
            </w:tcMar>
          </w:tcPr>
          <w:p w14:paraId="7F55E812" w14:textId="0FA30C20" w:rsidR="003D361A" w:rsidRPr="00327BC2" w:rsidRDefault="003D361A" w:rsidP="0041298C">
            <w:pPr>
              <w:widowControl w:val="0"/>
              <w:pBdr>
                <w:top w:val="nil"/>
                <w:left w:val="nil"/>
                <w:bottom w:val="nil"/>
                <w:right w:val="nil"/>
                <w:between w:val="nil"/>
              </w:pBdr>
              <w:spacing w:line="240" w:lineRule="auto"/>
              <w:rPr>
                <w:rFonts w:ascii="Times New Roman" w:hAnsi="Times New Roman" w:cs="Times New Roman"/>
                <w:b/>
                <w:sz w:val="24"/>
                <w:szCs w:val="24"/>
              </w:rPr>
            </w:pPr>
            <w:r w:rsidRPr="00327BC2">
              <w:rPr>
                <w:rFonts w:ascii="Times New Roman" w:hAnsi="Times New Roman" w:cs="Times New Roman"/>
                <w:b/>
                <w:sz w:val="24"/>
                <w:szCs w:val="24"/>
              </w:rPr>
              <w:t>C.2.2.</w:t>
            </w:r>
          </w:p>
        </w:tc>
        <w:tc>
          <w:tcPr>
            <w:tcW w:w="8814" w:type="dxa"/>
            <w:gridSpan w:val="3"/>
            <w:tcBorders>
              <w:top w:val="nil"/>
              <w:left w:val="nil"/>
              <w:bottom w:val="nil"/>
              <w:right w:val="nil"/>
            </w:tcBorders>
            <w:shd w:val="clear" w:color="auto" w:fill="auto"/>
            <w:tcMar>
              <w:top w:w="100" w:type="dxa"/>
              <w:left w:w="100" w:type="dxa"/>
              <w:bottom w:w="100" w:type="dxa"/>
              <w:right w:w="100" w:type="dxa"/>
            </w:tcMar>
          </w:tcPr>
          <w:p w14:paraId="41ED4964" w14:textId="136B7910" w:rsidR="003D361A" w:rsidRPr="00327BC2" w:rsidRDefault="003D361A" w:rsidP="0041298C">
            <w:pPr>
              <w:widowControl w:val="0"/>
              <w:pBdr>
                <w:top w:val="nil"/>
                <w:left w:val="nil"/>
                <w:bottom w:val="nil"/>
                <w:right w:val="nil"/>
                <w:between w:val="nil"/>
              </w:pBdr>
              <w:spacing w:line="240" w:lineRule="auto"/>
              <w:rPr>
                <w:rFonts w:ascii="Times New Roman" w:hAnsi="Times New Roman" w:cs="Times New Roman"/>
                <w:b/>
                <w:sz w:val="24"/>
                <w:szCs w:val="24"/>
              </w:rPr>
            </w:pPr>
            <w:r w:rsidRPr="00327BC2">
              <w:rPr>
                <w:rFonts w:ascii="Times New Roman" w:hAnsi="Times New Roman" w:cs="Times New Roman"/>
                <w:b/>
                <w:sz w:val="24"/>
                <w:szCs w:val="24"/>
              </w:rPr>
              <w:t>Ulusal ve uluslararası ortak programlar ve ortak araştırma birimleri</w:t>
            </w:r>
          </w:p>
        </w:tc>
      </w:tr>
      <w:tr w:rsidR="003D361A" w:rsidRPr="00327BC2" w14:paraId="75625BC2" w14:textId="77777777" w:rsidTr="00327BC2">
        <w:trPr>
          <w:trHeight w:val="191"/>
        </w:trPr>
        <w:tc>
          <w:tcPr>
            <w:tcW w:w="959" w:type="dxa"/>
            <w:tcBorders>
              <w:top w:val="nil"/>
              <w:left w:val="nil"/>
              <w:bottom w:val="nil"/>
              <w:right w:val="nil"/>
            </w:tcBorders>
            <w:shd w:val="clear" w:color="auto" w:fill="auto"/>
            <w:tcMar>
              <w:top w:w="100" w:type="dxa"/>
              <w:left w:w="100" w:type="dxa"/>
              <w:bottom w:w="100" w:type="dxa"/>
              <w:right w:w="100" w:type="dxa"/>
            </w:tcMar>
          </w:tcPr>
          <w:p w14:paraId="7DD7016C" w14:textId="77777777" w:rsidR="003D361A" w:rsidRPr="00327BC2" w:rsidRDefault="003D361A" w:rsidP="0041298C">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nil"/>
              <w:right w:val="nil"/>
            </w:tcBorders>
            <w:shd w:val="clear" w:color="auto" w:fill="auto"/>
            <w:tcMar>
              <w:top w:w="100" w:type="dxa"/>
              <w:left w:w="100" w:type="dxa"/>
              <w:bottom w:w="100" w:type="dxa"/>
              <w:right w:w="100" w:type="dxa"/>
            </w:tcMar>
          </w:tcPr>
          <w:p w14:paraId="3C5E7B6E" w14:textId="77777777" w:rsidR="003D361A" w:rsidRPr="00327BC2" w:rsidRDefault="003D361A" w:rsidP="0041298C">
            <w:pPr>
              <w:widowControl w:val="0"/>
              <w:pBdr>
                <w:top w:val="nil"/>
                <w:left w:val="nil"/>
                <w:bottom w:val="nil"/>
                <w:right w:val="nil"/>
                <w:between w:val="nil"/>
              </w:pBdr>
              <w:spacing w:line="240" w:lineRule="auto"/>
              <w:rPr>
                <w:rFonts w:ascii="Times New Roman" w:hAnsi="Times New Roman" w:cs="Times New Roman"/>
                <w:i/>
                <w:iCs/>
                <w:sz w:val="24"/>
                <w:szCs w:val="24"/>
              </w:rPr>
            </w:pPr>
            <w:r w:rsidRPr="00327BC2">
              <w:rPr>
                <w:rFonts w:ascii="Times New Roman" w:hAnsi="Times New Roman" w:cs="Times New Roman"/>
                <w:i/>
                <w:iCs/>
                <w:sz w:val="24"/>
                <w:szCs w:val="24"/>
              </w:rPr>
              <w:t>Olgunluk Düzeyi</w:t>
            </w:r>
          </w:p>
        </w:tc>
        <w:tc>
          <w:tcPr>
            <w:tcW w:w="284" w:type="dxa"/>
            <w:tcBorders>
              <w:top w:val="nil"/>
              <w:left w:val="nil"/>
              <w:bottom w:val="nil"/>
              <w:right w:val="nil"/>
            </w:tcBorders>
            <w:shd w:val="clear" w:color="auto" w:fill="auto"/>
          </w:tcPr>
          <w:p w14:paraId="0FB1F3B8" w14:textId="77777777" w:rsidR="003D361A" w:rsidRPr="00327BC2" w:rsidRDefault="003D361A" w:rsidP="0041298C">
            <w:pPr>
              <w:widowControl w:val="0"/>
              <w:pBdr>
                <w:top w:val="nil"/>
                <w:left w:val="nil"/>
                <w:bottom w:val="nil"/>
                <w:right w:val="nil"/>
                <w:between w:val="nil"/>
              </w:pBdr>
              <w:spacing w:line="240" w:lineRule="auto"/>
              <w:rPr>
                <w:rFonts w:ascii="Times New Roman" w:hAnsi="Times New Roman" w:cs="Times New Roman"/>
                <w:i/>
                <w:iCs/>
                <w:sz w:val="24"/>
                <w:szCs w:val="24"/>
              </w:rPr>
            </w:pPr>
            <w:r w:rsidRPr="00327BC2">
              <w:rPr>
                <w:rFonts w:ascii="Times New Roman" w:hAnsi="Times New Roman" w:cs="Times New Roman"/>
                <w:i/>
                <w:iCs/>
                <w:sz w:val="24"/>
                <w:szCs w:val="24"/>
              </w:rPr>
              <w:t>:</w:t>
            </w:r>
          </w:p>
        </w:tc>
        <w:tc>
          <w:tcPr>
            <w:tcW w:w="6525" w:type="dxa"/>
            <w:tcBorders>
              <w:top w:val="nil"/>
              <w:left w:val="nil"/>
              <w:bottom w:val="nil"/>
              <w:right w:val="nil"/>
            </w:tcBorders>
            <w:shd w:val="clear" w:color="auto" w:fill="F0E22C"/>
          </w:tcPr>
          <w:p w14:paraId="38DF9BA2" w14:textId="77777777" w:rsidR="003D361A" w:rsidRPr="00327BC2" w:rsidRDefault="00627D67" w:rsidP="0041298C">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1207605733"/>
                <w:placeholder>
                  <w:docPart w:val="7DAEC638BA374CD3A3B7375DB2AF258F"/>
                </w:placeholder>
                <w:showingPlcHdr/>
                <w:dropDownList>
                  <w:listItem w:value="Bir öğe seçin."/>
                  <w:listItem w:displayText="1: Kurumda ulusal ve uluslararası düzeyde ortak programlar ve ortak araştırma birimleri oluşturma yönünde mekanizmalar bulunmamaktadır." w:value="1"/>
                  <w:listItem w:displayText="2: Kurumda ulusal ve uluslararası düzeyde ortak programlar ve ortak araştırma birimleri ile araştırma ağlarına katılım ve iş birlikleri kurma gibi çoklu araştırma faaliyetlerine yönelik planlamalar ve mekanizmalar bulunmaktadır. " w:value="2"/>
                  <w:listItem w:displayText="3: Kurumun genelinde ulusal ve uluslararası düzeyde ortak programlar ve ortak araştırma faaliyetleri yürütülmektedir." w:value="3"/>
                  <w:listItem w:displayText="4: Kurumda ulusal ve uluslararası düzeyde kurum içi ve kurumlar arası ortak programlar ve ortak araştırma faaliyetleri izlenmekte ve ilgili paydaşlarla değerlendirilerek iyileştirilmektedir. " w:value="4"/>
                  <w:listItem w:displayText="5: İçselleştirilmiş, sistematik, sürdürülebilir ve örnek gösterilebilir uygulamalar bulunmaktadır." w:value="5"/>
                </w:dropDownList>
              </w:sdtPr>
              <w:sdtEndPr/>
              <w:sdtContent>
                <w:r w:rsidR="003D361A" w:rsidRPr="00327BC2">
                  <w:rPr>
                    <w:rStyle w:val="YerTutucuMetni"/>
                    <w:rFonts w:ascii="Times New Roman" w:hAnsi="Times New Roman" w:cs="Times New Roman"/>
                    <w:i/>
                    <w:sz w:val="24"/>
                    <w:szCs w:val="24"/>
                  </w:rPr>
                  <w:t>Bir öğe seçin.</w:t>
                </w:r>
              </w:sdtContent>
            </w:sdt>
          </w:p>
        </w:tc>
      </w:tr>
      <w:tr w:rsidR="003D361A" w:rsidRPr="00327BC2" w14:paraId="4C97F751" w14:textId="77777777" w:rsidTr="00327BC2">
        <w:trPr>
          <w:trHeight w:val="6275"/>
        </w:trPr>
        <w:tc>
          <w:tcPr>
            <w:tcW w:w="9773" w:type="dxa"/>
            <w:gridSpan w:val="4"/>
            <w:tcBorders>
              <w:top w:val="nil"/>
              <w:left w:val="nil"/>
              <w:bottom w:val="dotDash" w:sz="4" w:space="0" w:color="auto"/>
              <w:right w:val="nil"/>
            </w:tcBorders>
            <w:shd w:val="clear" w:color="auto" w:fill="auto"/>
            <w:tcMar>
              <w:top w:w="100" w:type="dxa"/>
              <w:left w:w="100" w:type="dxa"/>
              <w:bottom w:w="100" w:type="dxa"/>
              <w:right w:w="100" w:type="dxa"/>
            </w:tcMar>
          </w:tcPr>
          <w:p w14:paraId="59670D5F" w14:textId="77777777" w:rsidR="003D361A" w:rsidRPr="00327BC2" w:rsidRDefault="003D361A" w:rsidP="0041298C">
            <w:pPr>
              <w:widowControl w:val="0"/>
              <w:jc w:val="both"/>
              <w:rPr>
                <w:rFonts w:ascii="Times New Roman" w:hAnsi="Times New Roman" w:cs="Times New Roman"/>
                <w:i/>
                <w:iCs/>
                <w:color w:val="B7B7B7"/>
                <w:sz w:val="24"/>
                <w:szCs w:val="24"/>
                <w:u w:val="single"/>
              </w:rPr>
            </w:pPr>
            <w:r w:rsidRPr="00327BC2">
              <w:rPr>
                <w:rFonts w:ascii="Times New Roman" w:hAnsi="Times New Roman" w:cs="Times New Roman"/>
                <w:i/>
                <w:iCs/>
                <w:color w:val="B7B7B7"/>
                <w:sz w:val="24"/>
                <w:szCs w:val="24"/>
                <w:u w:val="single"/>
              </w:rPr>
              <w:t>İYTE Kalite Yönetim Rehberi’nden</w:t>
            </w:r>
          </w:p>
          <w:p w14:paraId="0F8F79E6" w14:textId="77777777" w:rsidR="003D361A" w:rsidRPr="00327BC2" w:rsidRDefault="003D361A"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t xml:space="preserve">Enstitü bilimsel çalışmalarda iş birliği önem verilen konulardandır. Enstitümüz bu konuyu Araştırma Politikasında “disiplinler arası, çok disiplinli ve uluslararası iş birliği” vurguları yaparak ön plana çıkarmıştır. Araştırma Politikasına uygun olarak Enstitüde, Enstitü dışı fon kaynaklarını artırmak amacıyla kurumlararası iş birliklerini, disiplinler arası ve </w:t>
            </w:r>
            <w:proofErr w:type="gramStart"/>
            <w:r w:rsidRPr="00327BC2">
              <w:rPr>
                <w:rFonts w:ascii="Times New Roman" w:hAnsi="Times New Roman" w:cs="Times New Roman"/>
                <w:color w:val="B7B7B7"/>
                <w:sz w:val="24"/>
                <w:szCs w:val="24"/>
              </w:rPr>
              <w:t>sinerji</w:t>
            </w:r>
            <w:proofErr w:type="gramEnd"/>
            <w:r w:rsidRPr="00327BC2">
              <w:rPr>
                <w:rFonts w:ascii="Times New Roman" w:hAnsi="Times New Roman" w:cs="Times New Roman"/>
                <w:color w:val="B7B7B7"/>
                <w:sz w:val="24"/>
                <w:szCs w:val="24"/>
              </w:rPr>
              <w:t xml:space="preserve"> yaratacak ortak girişimleri özendirecek uygulamalar geliştirilmiş olup bu uygulamaların süreçleri ve sorumluları tanımlıdır.</w:t>
            </w:r>
          </w:p>
          <w:p w14:paraId="3B87458B" w14:textId="77777777" w:rsidR="003D361A" w:rsidRPr="00327BC2" w:rsidRDefault="003D361A"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t>Enstitüde disiplinler arası lisansüstü program açılması ile ilgili süreç, "İYTE Disiplinler Arası Anabilim Dalı/Lisansüstü Program Açılması ve Kapatılmasına İlişkin Usul ve Esaslar" ile güvence altına alınmıştır. Ulusal ve uluslararası ortaklı/destekli proje süreçleri, bu bölümün “İç ve dış kaynaklar” başlığında belirtilen kaynaklar aracılığıyla yürütülür.</w:t>
            </w:r>
          </w:p>
          <w:p w14:paraId="27427E2B" w14:textId="77777777" w:rsidR="003D361A" w:rsidRPr="00327BC2" w:rsidRDefault="003D361A"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t xml:space="preserve">EAS-e-TAM test analiz uygulaması ulusal ve uluslararası olmak üzere tüm araştırmacıların analiz talep edebileceği bir uygulamadır. EAS-e-TAM </w:t>
            </w:r>
            <w:proofErr w:type="spellStart"/>
            <w:r w:rsidRPr="00327BC2">
              <w:rPr>
                <w:rFonts w:ascii="Times New Roman" w:hAnsi="Times New Roman" w:cs="Times New Roman"/>
                <w:color w:val="B7B7B7"/>
                <w:sz w:val="24"/>
                <w:szCs w:val="24"/>
              </w:rPr>
              <w:t>ingilizce</w:t>
            </w:r>
            <w:proofErr w:type="spellEnd"/>
            <w:r w:rsidRPr="00327BC2">
              <w:rPr>
                <w:rFonts w:ascii="Times New Roman" w:hAnsi="Times New Roman" w:cs="Times New Roman"/>
                <w:color w:val="B7B7B7"/>
                <w:sz w:val="24"/>
                <w:szCs w:val="24"/>
              </w:rPr>
              <w:t xml:space="preserve"> </w:t>
            </w:r>
            <w:proofErr w:type="gramStart"/>
            <w:r w:rsidRPr="00327BC2">
              <w:rPr>
                <w:rFonts w:ascii="Times New Roman" w:hAnsi="Times New Roman" w:cs="Times New Roman"/>
                <w:color w:val="B7B7B7"/>
                <w:sz w:val="24"/>
                <w:szCs w:val="24"/>
              </w:rPr>
              <w:t>versiyonu</w:t>
            </w:r>
            <w:proofErr w:type="gramEnd"/>
            <w:r w:rsidRPr="00327BC2">
              <w:rPr>
                <w:rFonts w:ascii="Times New Roman" w:hAnsi="Times New Roman" w:cs="Times New Roman"/>
                <w:color w:val="B7B7B7"/>
                <w:sz w:val="24"/>
                <w:szCs w:val="24"/>
              </w:rPr>
              <w:t xml:space="preserve"> ve TAM </w:t>
            </w:r>
            <w:proofErr w:type="spellStart"/>
            <w:r w:rsidRPr="00327BC2">
              <w:rPr>
                <w:rFonts w:ascii="Times New Roman" w:hAnsi="Times New Roman" w:cs="Times New Roman"/>
                <w:color w:val="B7B7B7"/>
                <w:sz w:val="24"/>
                <w:szCs w:val="24"/>
              </w:rPr>
              <w:t>ingilizce</w:t>
            </w:r>
            <w:proofErr w:type="spellEnd"/>
            <w:r w:rsidRPr="00327BC2">
              <w:rPr>
                <w:rFonts w:ascii="Times New Roman" w:hAnsi="Times New Roman" w:cs="Times New Roman"/>
                <w:color w:val="B7B7B7"/>
                <w:sz w:val="24"/>
                <w:szCs w:val="24"/>
              </w:rPr>
              <w:t xml:space="preserve"> internet sayfası mevcut olup yurt dışından herhangi bir araştırmacı merkezlerimizden çevrim içi olarak analiz talep edebilmektedir.</w:t>
            </w:r>
          </w:p>
          <w:p w14:paraId="748FD2D4" w14:textId="2B1305FA" w:rsidR="003D361A" w:rsidRPr="00327BC2" w:rsidRDefault="003D361A"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t>Araştırma politikasına uygun olarak, Enstitümüzün stratejik planlama dönemi boyunca ulusal ve uluslararası ortak programlar ve ortak araştırma faaliyetleriyle ilgili hedefleri belirlenerek bu hedeflerin ilgili performans göstergeleri aracılığıyla izlenmesi sağlanır.</w:t>
            </w:r>
          </w:p>
        </w:tc>
      </w:tr>
      <w:tr w:rsidR="003D361A" w:rsidRPr="00327BC2" w14:paraId="703370D2" w14:textId="77777777" w:rsidTr="00327BC2">
        <w:trPr>
          <w:trHeight w:val="420"/>
        </w:trPr>
        <w:tc>
          <w:tcPr>
            <w:tcW w:w="9773" w:type="dxa"/>
            <w:gridSpan w:val="4"/>
            <w:tcBorders>
              <w:top w:val="dotDash" w:sz="4" w:space="0" w:color="auto"/>
              <w:left w:val="dotDash" w:sz="4" w:space="0" w:color="auto"/>
              <w:bottom w:val="dotDash" w:sz="4" w:space="0" w:color="auto"/>
              <w:right w:val="dotDash" w:sz="4" w:space="0" w:color="auto"/>
            </w:tcBorders>
            <w:shd w:val="clear" w:color="auto" w:fill="auto"/>
            <w:tcMar>
              <w:top w:w="100" w:type="dxa"/>
              <w:left w:w="100" w:type="dxa"/>
              <w:bottom w:w="100" w:type="dxa"/>
              <w:right w:w="100" w:type="dxa"/>
            </w:tcMar>
          </w:tcPr>
          <w:p w14:paraId="7CF7B244" w14:textId="6B036825" w:rsidR="003D361A" w:rsidRPr="00327BC2" w:rsidRDefault="00AE03C3" w:rsidP="0041298C">
            <w:pPr>
              <w:widowControl w:val="0"/>
              <w:pBdr>
                <w:top w:val="nil"/>
                <w:left w:val="nil"/>
                <w:bottom w:val="nil"/>
                <w:right w:val="nil"/>
                <w:between w:val="nil"/>
              </w:pBdr>
              <w:spacing w:line="240" w:lineRule="auto"/>
              <w:rPr>
                <w:rFonts w:ascii="Times New Roman" w:hAnsi="Times New Roman" w:cs="Times New Roman"/>
                <w:sz w:val="24"/>
                <w:szCs w:val="24"/>
                <w:u w:val="single"/>
              </w:rPr>
            </w:pPr>
            <w:proofErr w:type="gramStart"/>
            <w:r w:rsidRPr="00AE03C3">
              <w:rPr>
                <w:rFonts w:ascii="Times New Roman" w:hAnsi="Times New Roman" w:cs="Times New Roman"/>
                <w:sz w:val="24"/>
                <w:szCs w:val="24"/>
                <w:highlight w:val="yellow"/>
                <w:u w:val="single"/>
              </w:rPr>
              <w:t>.....</w:t>
            </w:r>
            <w:proofErr w:type="gramEnd"/>
            <w:r w:rsidRPr="00327BC2">
              <w:rPr>
                <w:rFonts w:ascii="Times New Roman" w:hAnsi="Times New Roman" w:cs="Times New Roman"/>
                <w:sz w:val="24"/>
                <w:szCs w:val="24"/>
                <w:u w:val="single"/>
              </w:rPr>
              <w:t xml:space="preserve"> </w:t>
            </w:r>
            <w:r w:rsidR="003D361A" w:rsidRPr="00327BC2">
              <w:rPr>
                <w:rFonts w:ascii="Times New Roman" w:hAnsi="Times New Roman" w:cs="Times New Roman"/>
                <w:sz w:val="24"/>
                <w:szCs w:val="24"/>
                <w:u w:val="single"/>
              </w:rPr>
              <w:t>Yılı Faaliyetleri, Uygulamaları ve İyileştirmeleri</w:t>
            </w:r>
          </w:p>
          <w:p w14:paraId="457EE4B9" w14:textId="77777777" w:rsidR="003D361A" w:rsidRPr="00327BC2" w:rsidRDefault="003D361A"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3019572A" w14:textId="77777777" w:rsidR="003D361A" w:rsidRPr="00327BC2" w:rsidRDefault="003D361A"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5731A472" w14:textId="77777777" w:rsidR="003D361A" w:rsidRPr="00327BC2" w:rsidRDefault="003D361A"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267EA07A" w14:textId="77777777" w:rsidR="003D361A" w:rsidRPr="00327BC2" w:rsidRDefault="003D361A"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62DF33D9" w14:textId="77777777" w:rsidR="003D361A" w:rsidRPr="00327BC2" w:rsidRDefault="003D361A"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27D4E945" w14:textId="77777777" w:rsidR="003D361A" w:rsidRPr="00327BC2" w:rsidRDefault="003D361A"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2E05C2F3" w14:textId="77777777" w:rsidR="003D361A" w:rsidRPr="00327BC2" w:rsidRDefault="003D361A"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2E14B7AD" w14:textId="77777777" w:rsidR="003D361A" w:rsidRPr="00327BC2" w:rsidRDefault="003D361A"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6BD721B1" w14:textId="77777777" w:rsidR="003D361A" w:rsidRPr="00327BC2" w:rsidRDefault="003D361A"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373465D5" w14:textId="77777777" w:rsidR="003D361A" w:rsidRPr="00327BC2" w:rsidRDefault="003D361A" w:rsidP="0041298C">
            <w:pPr>
              <w:widowControl w:val="0"/>
              <w:pBdr>
                <w:top w:val="nil"/>
                <w:left w:val="nil"/>
                <w:bottom w:val="nil"/>
                <w:right w:val="nil"/>
                <w:between w:val="nil"/>
              </w:pBdr>
              <w:spacing w:line="240" w:lineRule="auto"/>
              <w:rPr>
                <w:rFonts w:ascii="Times New Roman" w:hAnsi="Times New Roman" w:cs="Times New Roman"/>
                <w:sz w:val="24"/>
                <w:szCs w:val="24"/>
              </w:rPr>
            </w:pPr>
          </w:p>
        </w:tc>
      </w:tr>
    </w:tbl>
    <w:p w14:paraId="11D8F3D8" w14:textId="4B0F581F" w:rsidR="00327BC2" w:rsidRDefault="00327BC2"/>
    <w:p w14:paraId="26B46F03" w14:textId="73138015" w:rsidR="00327BC2" w:rsidRDefault="00327BC2"/>
    <w:p w14:paraId="4E259619" w14:textId="12FC094A" w:rsidR="00327BC2" w:rsidRDefault="00327BC2"/>
    <w:p w14:paraId="69FD04F1" w14:textId="2AB38012" w:rsidR="00327BC2" w:rsidRDefault="00327BC2"/>
    <w:p w14:paraId="4345094E" w14:textId="4A82DC36" w:rsidR="00327BC2" w:rsidRDefault="00327BC2"/>
    <w:p w14:paraId="1946EC85" w14:textId="50EC692E" w:rsidR="00327BC2" w:rsidRDefault="00327BC2"/>
    <w:p w14:paraId="188BF2C3" w14:textId="66B3110F" w:rsidR="00327BC2" w:rsidRDefault="00327BC2"/>
    <w:p w14:paraId="7EA24D07" w14:textId="33720AEB" w:rsidR="00327BC2" w:rsidRDefault="00327BC2"/>
    <w:p w14:paraId="39199923" w14:textId="26149D4C" w:rsidR="00327BC2" w:rsidRDefault="00327BC2"/>
    <w:p w14:paraId="4974E518" w14:textId="3FE7A7BE" w:rsidR="00327BC2" w:rsidRPr="00327BC2" w:rsidRDefault="00327BC2" w:rsidP="00327BC2">
      <w:pPr>
        <w:widowControl w:val="0"/>
        <w:pBdr>
          <w:top w:val="nil"/>
          <w:left w:val="nil"/>
          <w:bottom w:val="nil"/>
          <w:right w:val="nil"/>
          <w:between w:val="nil"/>
        </w:pBdr>
        <w:spacing w:after="24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C.3. </w:t>
      </w:r>
      <w:r w:rsidRPr="00327BC2">
        <w:rPr>
          <w:rFonts w:ascii="Times New Roman" w:hAnsi="Times New Roman" w:cs="Times New Roman"/>
          <w:b/>
          <w:sz w:val="24"/>
          <w:szCs w:val="24"/>
        </w:rPr>
        <w:t>Araştırma Performansı</w:t>
      </w:r>
    </w:p>
    <w:tbl>
      <w:tblPr>
        <w:tblW w:w="9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59"/>
        <w:gridCol w:w="2005"/>
        <w:gridCol w:w="284"/>
        <w:gridCol w:w="6525"/>
      </w:tblGrid>
      <w:tr w:rsidR="003D361A" w:rsidRPr="00327BC2" w14:paraId="22C27C96" w14:textId="77777777" w:rsidTr="00327BC2">
        <w:tc>
          <w:tcPr>
            <w:tcW w:w="959" w:type="dxa"/>
            <w:tcBorders>
              <w:top w:val="nil"/>
              <w:left w:val="nil"/>
              <w:bottom w:val="nil"/>
              <w:right w:val="nil"/>
            </w:tcBorders>
            <w:shd w:val="clear" w:color="auto" w:fill="auto"/>
            <w:tcMar>
              <w:top w:w="100" w:type="dxa"/>
              <w:left w:w="100" w:type="dxa"/>
              <w:bottom w:w="100" w:type="dxa"/>
              <w:right w:w="100" w:type="dxa"/>
            </w:tcMar>
          </w:tcPr>
          <w:p w14:paraId="1A519280" w14:textId="50B65758" w:rsidR="003D361A" w:rsidRPr="00327BC2" w:rsidRDefault="003D361A" w:rsidP="0041298C">
            <w:pPr>
              <w:widowControl w:val="0"/>
              <w:pBdr>
                <w:top w:val="nil"/>
                <w:left w:val="nil"/>
                <w:bottom w:val="nil"/>
                <w:right w:val="nil"/>
                <w:between w:val="nil"/>
              </w:pBdr>
              <w:spacing w:line="240" w:lineRule="auto"/>
              <w:rPr>
                <w:rFonts w:ascii="Times New Roman" w:hAnsi="Times New Roman" w:cs="Times New Roman"/>
                <w:b/>
                <w:sz w:val="24"/>
                <w:szCs w:val="24"/>
              </w:rPr>
            </w:pPr>
            <w:r w:rsidRPr="00327BC2">
              <w:rPr>
                <w:rFonts w:ascii="Times New Roman" w:hAnsi="Times New Roman" w:cs="Times New Roman"/>
                <w:b/>
                <w:sz w:val="24"/>
                <w:szCs w:val="24"/>
              </w:rPr>
              <w:t>C.3.1.</w:t>
            </w:r>
          </w:p>
        </w:tc>
        <w:tc>
          <w:tcPr>
            <w:tcW w:w="8814" w:type="dxa"/>
            <w:gridSpan w:val="3"/>
            <w:tcBorders>
              <w:top w:val="nil"/>
              <w:left w:val="nil"/>
              <w:bottom w:val="nil"/>
              <w:right w:val="nil"/>
            </w:tcBorders>
            <w:shd w:val="clear" w:color="auto" w:fill="auto"/>
            <w:tcMar>
              <w:top w:w="100" w:type="dxa"/>
              <w:left w:w="100" w:type="dxa"/>
              <w:bottom w:w="100" w:type="dxa"/>
              <w:right w:w="100" w:type="dxa"/>
            </w:tcMar>
          </w:tcPr>
          <w:p w14:paraId="37BB2D38" w14:textId="6F803872" w:rsidR="003D361A" w:rsidRPr="00327BC2" w:rsidRDefault="003D361A" w:rsidP="0041298C">
            <w:pPr>
              <w:widowControl w:val="0"/>
              <w:pBdr>
                <w:top w:val="nil"/>
                <w:left w:val="nil"/>
                <w:bottom w:val="nil"/>
                <w:right w:val="nil"/>
                <w:between w:val="nil"/>
              </w:pBdr>
              <w:spacing w:line="240" w:lineRule="auto"/>
              <w:rPr>
                <w:rFonts w:ascii="Times New Roman" w:hAnsi="Times New Roman" w:cs="Times New Roman"/>
                <w:b/>
                <w:sz w:val="24"/>
                <w:szCs w:val="24"/>
              </w:rPr>
            </w:pPr>
            <w:r w:rsidRPr="00327BC2">
              <w:rPr>
                <w:rFonts w:ascii="Times New Roman" w:hAnsi="Times New Roman" w:cs="Times New Roman"/>
                <w:b/>
                <w:sz w:val="24"/>
                <w:szCs w:val="24"/>
              </w:rPr>
              <w:t>Araştırma performansının izlenmesi ve değerlendirilmesi</w:t>
            </w:r>
          </w:p>
        </w:tc>
      </w:tr>
      <w:tr w:rsidR="003D361A" w:rsidRPr="00327BC2" w14:paraId="3DABA7BB" w14:textId="77777777" w:rsidTr="00327BC2">
        <w:trPr>
          <w:trHeight w:val="191"/>
        </w:trPr>
        <w:tc>
          <w:tcPr>
            <w:tcW w:w="959" w:type="dxa"/>
            <w:tcBorders>
              <w:top w:val="nil"/>
              <w:left w:val="nil"/>
              <w:bottom w:val="nil"/>
              <w:right w:val="nil"/>
            </w:tcBorders>
            <w:shd w:val="clear" w:color="auto" w:fill="auto"/>
            <w:tcMar>
              <w:top w:w="100" w:type="dxa"/>
              <w:left w:w="100" w:type="dxa"/>
              <w:bottom w:w="100" w:type="dxa"/>
              <w:right w:w="100" w:type="dxa"/>
            </w:tcMar>
          </w:tcPr>
          <w:p w14:paraId="1A3245A9" w14:textId="77777777" w:rsidR="003D361A" w:rsidRPr="00327BC2" w:rsidRDefault="003D361A" w:rsidP="0041298C">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nil"/>
              <w:right w:val="nil"/>
            </w:tcBorders>
            <w:shd w:val="clear" w:color="auto" w:fill="auto"/>
            <w:tcMar>
              <w:top w:w="100" w:type="dxa"/>
              <w:left w:w="100" w:type="dxa"/>
              <w:bottom w:w="100" w:type="dxa"/>
              <w:right w:w="100" w:type="dxa"/>
            </w:tcMar>
          </w:tcPr>
          <w:p w14:paraId="15A71C98" w14:textId="77777777" w:rsidR="003D361A" w:rsidRPr="00327BC2" w:rsidRDefault="003D361A" w:rsidP="0041298C">
            <w:pPr>
              <w:widowControl w:val="0"/>
              <w:pBdr>
                <w:top w:val="nil"/>
                <w:left w:val="nil"/>
                <w:bottom w:val="nil"/>
                <w:right w:val="nil"/>
                <w:between w:val="nil"/>
              </w:pBdr>
              <w:spacing w:line="240" w:lineRule="auto"/>
              <w:rPr>
                <w:rFonts w:ascii="Times New Roman" w:hAnsi="Times New Roman" w:cs="Times New Roman"/>
                <w:i/>
                <w:iCs/>
                <w:sz w:val="24"/>
                <w:szCs w:val="24"/>
              </w:rPr>
            </w:pPr>
            <w:r w:rsidRPr="00327BC2">
              <w:rPr>
                <w:rFonts w:ascii="Times New Roman" w:hAnsi="Times New Roman" w:cs="Times New Roman"/>
                <w:i/>
                <w:iCs/>
                <w:sz w:val="24"/>
                <w:szCs w:val="24"/>
              </w:rPr>
              <w:t>Olgunluk Düzeyi</w:t>
            </w:r>
          </w:p>
        </w:tc>
        <w:tc>
          <w:tcPr>
            <w:tcW w:w="284" w:type="dxa"/>
            <w:tcBorders>
              <w:top w:val="nil"/>
              <w:left w:val="nil"/>
              <w:bottom w:val="nil"/>
              <w:right w:val="nil"/>
            </w:tcBorders>
            <w:shd w:val="clear" w:color="auto" w:fill="auto"/>
          </w:tcPr>
          <w:p w14:paraId="4700AF89" w14:textId="77777777" w:rsidR="003D361A" w:rsidRPr="00327BC2" w:rsidRDefault="003D361A" w:rsidP="0041298C">
            <w:pPr>
              <w:widowControl w:val="0"/>
              <w:pBdr>
                <w:top w:val="nil"/>
                <w:left w:val="nil"/>
                <w:bottom w:val="nil"/>
                <w:right w:val="nil"/>
                <w:between w:val="nil"/>
              </w:pBdr>
              <w:spacing w:line="240" w:lineRule="auto"/>
              <w:rPr>
                <w:rFonts w:ascii="Times New Roman" w:hAnsi="Times New Roman" w:cs="Times New Roman"/>
                <w:i/>
                <w:iCs/>
                <w:sz w:val="24"/>
                <w:szCs w:val="24"/>
              </w:rPr>
            </w:pPr>
            <w:r w:rsidRPr="00327BC2">
              <w:rPr>
                <w:rFonts w:ascii="Times New Roman" w:hAnsi="Times New Roman" w:cs="Times New Roman"/>
                <w:i/>
                <w:iCs/>
                <w:sz w:val="24"/>
                <w:szCs w:val="24"/>
              </w:rPr>
              <w:t>:</w:t>
            </w:r>
          </w:p>
        </w:tc>
        <w:tc>
          <w:tcPr>
            <w:tcW w:w="6525" w:type="dxa"/>
            <w:tcBorders>
              <w:top w:val="nil"/>
              <w:left w:val="nil"/>
              <w:bottom w:val="nil"/>
              <w:right w:val="nil"/>
            </w:tcBorders>
            <w:shd w:val="clear" w:color="auto" w:fill="F0E22C"/>
          </w:tcPr>
          <w:p w14:paraId="005AFD14" w14:textId="77777777" w:rsidR="003D361A" w:rsidRPr="00327BC2" w:rsidRDefault="00627D67" w:rsidP="0041298C">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497850986"/>
                <w:placeholder>
                  <w:docPart w:val="4A0D523B70FE4111BCC6124DD0DBE404"/>
                </w:placeholder>
                <w:showingPlcHdr/>
                <w:dropDownList>
                  <w:listItem w:value="Bir öğe seçin."/>
                  <w:listItem w:displayText="1: Kurumda araştırma performansının izlenmesine ve değerlendirmesine yönelik mekanizmalar bulunmamaktadır." w:value="1"/>
                  <w:listItem w:displayText="2: Kurumda araştırma performansının izlenmesine ve değerlendirmesine yönelik ilke, kural ve göstergeler bulunmaktadır. " w:value="2"/>
                  <w:listItem w:displayText="3: Kurumun genelinde araştırma performansını izlenmek ve değerlendirmek üzere oluşturulan mekanizmalar kullanılmaktadır. " w:value="3"/>
                  <w:listItem w:displayText="4: Kurumda araştırma performansı izlenmekte ve ilgili paydaşlarla değerlendirilerek iyileştirilmektedir. " w:value="4"/>
                  <w:listItem w:displayText="5: İçselleştirilmiş, sistematik, sürdürülebilir ve örnek gösterilebilir uygulamalar bulunmaktadır." w:value="5"/>
                </w:dropDownList>
              </w:sdtPr>
              <w:sdtEndPr/>
              <w:sdtContent>
                <w:r w:rsidR="003D361A" w:rsidRPr="00327BC2">
                  <w:rPr>
                    <w:rStyle w:val="YerTutucuMetni"/>
                    <w:rFonts w:ascii="Times New Roman" w:hAnsi="Times New Roman" w:cs="Times New Roman"/>
                    <w:i/>
                    <w:sz w:val="24"/>
                    <w:szCs w:val="24"/>
                  </w:rPr>
                  <w:t>Bir öğe seçin.</w:t>
                </w:r>
              </w:sdtContent>
            </w:sdt>
          </w:p>
        </w:tc>
      </w:tr>
      <w:tr w:rsidR="003D361A" w:rsidRPr="00327BC2" w14:paraId="687F2CEE" w14:textId="77777777" w:rsidTr="00327BC2">
        <w:trPr>
          <w:trHeight w:val="4395"/>
        </w:trPr>
        <w:tc>
          <w:tcPr>
            <w:tcW w:w="9773" w:type="dxa"/>
            <w:gridSpan w:val="4"/>
            <w:tcBorders>
              <w:top w:val="nil"/>
              <w:left w:val="nil"/>
              <w:bottom w:val="dotDash" w:sz="4" w:space="0" w:color="auto"/>
              <w:right w:val="nil"/>
            </w:tcBorders>
            <w:shd w:val="clear" w:color="auto" w:fill="auto"/>
            <w:tcMar>
              <w:top w:w="100" w:type="dxa"/>
              <w:left w:w="100" w:type="dxa"/>
              <w:bottom w:w="100" w:type="dxa"/>
              <w:right w:w="100" w:type="dxa"/>
            </w:tcMar>
          </w:tcPr>
          <w:p w14:paraId="7D4E8500" w14:textId="77777777" w:rsidR="003D361A" w:rsidRPr="00327BC2" w:rsidRDefault="003D361A" w:rsidP="0041298C">
            <w:pPr>
              <w:widowControl w:val="0"/>
              <w:jc w:val="both"/>
              <w:rPr>
                <w:rFonts w:ascii="Times New Roman" w:hAnsi="Times New Roman" w:cs="Times New Roman"/>
                <w:i/>
                <w:iCs/>
                <w:color w:val="B7B7B7"/>
                <w:sz w:val="24"/>
                <w:szCs w:val="24"/>
                <w:u w:val="single"/>
              </w:rPr>
            </w:pPr>
            <w:r w:rsidRPr="00327BC2">
              <w:rPr>
                <w:rFonts w:ascii="Times New Roman" w:hAnsi="Times New Roman" w:cs="Times New Roman"/>
                <w:i/>
                <w:iCs/>
                <w:color w:val="B7B7B7"/>
                <w:sz w:val="24"/>
                <w:szCs w:val="24"/>
                <w:u w:val="single"/>
              </w:rPr>
              <w:t>İYTE Kalite Yönetim Rehberi’nden</w:t>
            </w:r>
          </w:p>
          <w:p w14:paraId="730CF2AF" w14:textId="77777777" w:rsidR="003D361A" w:rsidRPr="00327BC2" w:rsidRDefault="003D361A"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t>Enstitü, araştırma performansını stratejik planda bilimsel araştırma ve inovasyon eksenleri için belirlenmiş performans göstergeleri (</w:t>
            </w:r>
            <w:proofErr w:type="spellStart"/>
            <w:r w:rsidRPr="00327BC2">
              <w:rPr>
                <w:rFonts w:ascii="Times New Roman" w:hAnsi="Times New Roman" w:cs="Times New Roman"/>
                <w:color w:val="B7B7B7"/>
                <w:sz w:val="24"/>
                <w:szCs w:val="24"/>
              </w:rPr>
              <w:t>İYTE_stratejik_plan</w:t>
            </w:r>
            <w:proofErr w:type="spellEnd"/>
            <w:r w:rsidRPr="00327BC2">
              <w:rPr>
                <w:rFonts w:ascii="Times New Roman" w:hAnsi="Times New Roman" w:cs="Times New Roman"/>
                <w:color w:val="B7B7B7"/>
                <w:sz w:val="24"/>
                <w:szCs w:val="24"/>
              </w:rPr>
              <w:t xml:space="preserve">) ve bir araştırma üniversitesi olarak araştırma ile ilgili </w:t>
            </w:r>
            <w:proofErr w:type="gramStart"/>
            <w:r w:rsidRPr="00327BC2">
              <w:rPr>
                <w:rFonts w:ascii="Times New Roman" w:hAnsi="Times New Roman" w:cs="Times New Roman"/>
                <w:color w:val="B7B7B7"/>
                <w:sz w:val="24"/>
                <w:szCs w:val="24"/>
              </w:rPr>
              <w:t>kriterler</w:t>
            </w:r>
            <w:proofErr w:type="gramEnd"/>
            <w:r w:rsidRPr="00327BC2">
              <w:rPr>
                <w:rFonts w:ascii="Times New Roman" w:hAnsi="Times New Roman" w:cs="Times New Roman"/>
                <w:color w:val="B7B7B7"/>
                <w:sz w:val="24"/>
                <w:szCs w:val="24"/>
              </w:rPr>
              <w:t xml:space="preserve"> bazında değerlendirme yapan sıralama sistemlerinin (TÜBİTAK "Girişimci ve Yenilikçi Üniversite Endeksi", YÖK “Araştırma Üniversiteleri Performans İzleme Endeksi” vb.) değerlendirmeleri doğrultusunda izler ve değerlendirir. Kurumun araştırma performansı değerlendirilirken ve gelecek stratejiler belirlenirken diğer üniversitelerle kıyaslama yöntemlerinden de faydalanılır.</w:t>
            </w:r>
          </w:p>
          <w:p w14:paraId="2D426DE8" w14:textId="601EB0CD" w:rsidR="003D361A" w:rsidRPr="00327BC2" w:rsidRDefault="003D361A"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t>Enstitüde üniversite sıralamaları yanında, akademisyen performansları ile ilgili başarılar da takip edilir ve başarı/teşvik ödülü alan veya başarı listelerinde yer alan akademisyenlere belirli oranda TAM kredisi sağlanır. Her fakülteden en fazla uluslararası makale yayımlayan üç öğretim üyesine her yıl açılış töreninde ödül verilir.</w:t>
            </w:r>
          </w:p>
        </w:tc>
      </w:tr>
      <w:tr w:rsidR="003D361A" w:rsidRPr="00327BC2" w14:paraId="71FF6065" w14:textId="77777777" w:rsidTr="00327BC2">
        <w:trPr>
          <w:trHeight w:val="420"/>
        </w:trPr>
        <w:tc>
          <w:tcPr>
            <w:tcW w:w="9773" w:type="dxa"/>
            <w:gridSpan w:val="4"/>
            <w:tcBorders>
              <w:top w:val="dotDash" w:sz="4" w:space="0" w:color="auto"/>
              <w:left w:val="dotDash" w:sz="4" w:space="0" w:color="auto"/>
              <w:bottom w:val="dotDash" w:sz="4" w:space="0" w:color="auto"/>
              <w:right w:val="dotDash" w:sz="4" w:space="0" w:color="auto"/>
            </w:tcBorders>
            <w:shd w:val="clear" w:color="auto" w:fill="auto"/>
            <w:tcMar>
              <w:top w:w="100" w:type="dxa"/>
              <w:left w:w="100" w:type="dxa"/>
              <w:bottom w:w="100" w:type="dxa"/>
              <w:right w:w="100" w:type="dxa"/>
            </w:tcMar>
          </w:tcPr>
          <w:p w14:paraId="71EB8385" w14:textId="502C07DB" w:rsidR="003D361A" w:rsidRPr="00327BC2" w:rsidRDefault="00AE03C3" w:rsidP="0041298C">
            <w:pPr>
              <w:widowControl w:val="0"/>
              <w:pBdr>
                <w:top w:val="nil"/>
                <w:left w:val="nil"/>
                <w:bottom w:val="nil"/>
                <w:right w:val="nil"/>
                <w:between w:val="nil"/>
              </w:pBdr>
              <w:spacing w:line="240" w:lineRule="auto"/>
              <w:rPr>
                <w:rFonts w:ascii="Times New Roman" w:hAnsi="Times New Roman" w:cs="Times New Roman"/>
                <w:sz w:val="24"/>
                <w:szCs w:val="24"/>
                <w:u w:val="single"/>
              </w:rPr>
            </w:pPr>
            <w:proofErr w:type="gramStart"/>
            <w:r w:rsidRPr="00AE03C3">
              <w:rPr>
                <w:rFonts w:ascii="Times New Roman" w:hAnsi="Times New Roman" w:cs="Times New Roman"/>
                <w:sz w:val="24"/>
                <w:szCs w:val="24"/>
                <w:highlight w:val="yellow"/>
                <w:u w:val="single"/>
              </w:rPr>
              <w:t>.....</w:t>
            </w:r>
            <w:proofErr w:type="gramEnd"/>
            <w:r w:rsidRPr="00327BC2">
              <w:rPr>
                <w:rFonts w:ascii="Times New Roman" w:hAnsi="Times New Roman" w:cs="Times New Roman"/>
                <w:sz w:val="24"/>
                <w:szCs w:val="24"/>
                <w:u w:val="single"/>
              </w:rPr>
              <w:t xml:space="preserve"> </w:t>
            </w:r>
            <w:r w:rsidR="003D361A" w:rsidRPr="00327BC2">
              <w:rPr>
                <w:rFonts w:ascii="Times New Roman" w:hAnsi="Times New Roman" w:cs="Times New Roman"/>
                <w:sz w:val="24"/>
                <w:szCs w:val="24"/>
                <w:u w:val="single"/>
              </w:rPr>
              <w:t>Yılı Faaliyetleri, Uygulamaları ve İyileştirmeleri</w:t>
            </w:r>
          </w:p>
          <w:p w14:paraId="73217615" w14:textId="77777777" w:rsidR="003D361A" w:rsidRPr="00327BC2" w:rsidRDefault="003D361A"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65BBEBB4" w14:textId="77777777" w:rsidR="003D361A" w:rsidRPr="00327BC2" w:rsidRDefault="003D361A"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754E3DC4" w14:textId="77777777" w:rsidR="003D361A" w:rsidRPr="00327BC2" w:rsidRDefault="003D361A"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55A47F30" w14:textId="77777777" w:rsidR="003D361A" w:rsidRPr="00327BC2" w:rsidRDefault="003D361A"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22B03F5D" w14:textId="77777777" w:rsidR="003D361A" w:rsidRPr="00327BC2" w:rsidRDefault="003D361A"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5E7B8DFA" w14:textId="77777777" w:rsidR="003D361A" w:rsidRPr="00327BC2" w:rsidRDefault="003D361A"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45029CB1" w14:textId="77777777" w:rsidR="003D361A" w:rsidRPr="00327BC2" w:rsidRDefault="003D361A"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10420939" w14:textId="77777777" w:rsidR="003D361A" w:rsidRPr="00327BC2" w:rsidRDefault="003D361A"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506877CB" w14:textId="77777777" w:rsidR="003D361A" w:rsidRPr="00327BC2" w:rsidRDefault="003D361A"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52C88767" w14:textId="77777777" w:rsidR="003D361A" w:rsidRPr="00327BC2" w:rsidRDefault="003D361A" w:rsidP="0041298C">
            <w:pPr>
              <w:widowControl w:val="0"/>
              <w:pBdr>
                <w:top w:val="nil"/>
                <w:left w:val="nil"/>
                <w:bottom w:val="nil"/>
                <w:right w:val="nil"/>
                <w:between w:val="nil"/>
              </w:pBdr>
              <w:spacing w:line="240" w:lineRule="auto"/>
              <w:rPr>
                <w:rFonts w:ascii="Times New Roman" w:hAnsi="Times New Roman" w:cs="Times New Roman"/>
                <w:sz w:val="24"/>
                <w:szCs w:val="24"/>
              </w:rPr>
            </w:pPr>
          </w:p>
        </w:tc>
      </w:tr>
    </w:tbl>
    <w:p w14:paraId="1B0C749D" w14:textId="47E25E70" w:rsidR="00327BC2" w:rsidRDefault="00327BC2"/>
    <w:p w14:paraId="524DB964" w14:textId="0ACE0ED8" w:rsidR="00327BC2" w:rsidRDefault="00327BC2"/>
    <w:p w14:paraId="1E1C1BF5" w14:textId="37695547" w:rsidR="00327BC2" w:rsidRDefault="00327BC2"/>
    <w:p w14:paraId="5EF96560" w14:textId="20B2F2E3" w:rsidR="00327BC2" w:rsidRDefault="00327BC2"/>
    <w:p w14:paraId="0C1CAE3B" w14:textId="4354D703" w:rsidR="00327BC2" w:rsidRDefault="00327BC2"/>
    <w:p w14:paraId="28C9762B" w14:textId="53C70E8F" w:rsidR="00327BC2" w:rsidRDefault="00327BC2"/>
    <w:p w14:paraId="168673F8" w14:textId="3F1BB9C6" w:rsidR="00327BC2" w:rsidRDefault="00327BC2"/>
    <w:p w14:paraId="25B2C21D" w14:textId="55CD9C90" w:rsidR="00327BC2" w:rsidRDefault="00327BC2"/>
    <w:p w14:paraId="4BFC2BD6" w14:textId="242A7D52" w:rsidR="00327BC2" w:rsidRDefault="00327BC2"/>
    <w:p w14:paraId="0D167EB2" w14:textId="33072637" w:rsidR="00327BC2" w:rsidRDefault="00327BC2"/>
    <w:p w14:paraId="3451E49F" w14:textId="44BC7D08" w:rsidR="00327BC2" w:rsidRDefault="00327BC2"/>
    <w:p w14:paraId="0E156A82" w14:textId="449906F0" w:rsidR="00327BC2" w:rsidRDefault="00327BC2"/>
    <w:p w14:paraId="3DAC009A" w14:textId="0A9FDE81" w:rsidR="00327BC2" w:rsidRDefault="00327BC2"/>
    <w:p w14:paraId="3227A413" w14:textId="77777777" w:rsidR="00327BC2" w:rsidRDefault="00327BC2"/>
    <w:p w14:paraId="33DAF73E" w14:textId="724BC1EA" w:rsidR="00327BC2" w:rsidRDefault="00327BC2"/>
    <w:tbl>
      <w:tblPr>
        <w:tblW w:w="9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59"/>
        <w:gridCol w:w="2005"/>
        <w:gridCol w:w="284"/>
        <w:gridCol w:w="6525"/>
      </w:tblGrid>
      <w:tr w:rsidR="003D361A" w:rsidRPr="00327BC2" w14:paraId="64C6B1AA" w14:textId="77777777" w:rsidTr="00327BC2">
        <w:tc>
          <w:tcPr>
            <w:tcW w:w="959" w:type="dxa"/>
            <w:tcBorders>
              <w:top w:val="nil"/>
              <w:left w:val="nil"/>
              <w:bottom w:val="nil"/>
              <w:right w:val="nil"/>
            </w:tcBorders>
            <w:shd w:val="clear" w:color="auto" w:fill="auto"/>
            <w:tcMar>
              <w:top w:w="100" w:type="dxa"/>
              <w:left w:w="100" w:type="dxa"/>
              <w:bottom w:w="100" w:type="dxa"/>
              <w:right w:w="100" w:type="dxa"/>
            </w:tcMar>
          </w:tcPr>
          <w:p w14:paraId="2C5568F4" w14:textId="3F9491B2" w:rsidR="003D361A" w:rsidRPr="00327BC2" w:rsidRDefault="003D361A" w:rsidP="0041298C">
            <w:pPr>
              <w:widowControl w:val="0"/>
              <w:pBdr>
                <w:top w:val="nil"/>
                <w:left w:val="nil"/>
                <w:bottom w:val="nil"/>
                <w:right w:val="nil"/>
                <w:between w:val="nil"/>
              </w:pBdr>
              <w:spacing w:line="240" w:lineRule="auto"/>
              <w:rPr>
                <w:rFonts w:ascii="Times New Roman" w:hAnsi="Times New Roman" w:cs="Times New Roman"/>
                <w:b/>
                <w:sz w:val="24"/>
                <w:szCs w:val="24"/>
              </w:rPr>
            </w:pPr>
            <w:r w:rsidRPr="00327BC2">
              <w:rPr>
                <w:rFonts w:ascii="Times New Roman" w:hAnsi="Times New Roman" w:cs="Times New Roman"/>
                <w:b/>
                <w:sz w:val="24"/>
                <w:szCs w:val="24"/>
              </w:rPr>
              <w:lastRenderedPageBreak/>
              <w:t>C.3.2.</w:t>
            </w:r>
          </w:p>
        </w:tc>
        <w:tc>
          <w:tcPr>
            <w:tcW w:w="8814" w:type="dxa"/>
            <w:gridSpan w:val="3"/>
            <w:tcBorders>
              <w:top w:val="nil"/>
              <w:left w:val="nil"/>
              <w:bottom w:val="nil"/>
              <w:right w:val="nil"/>
            </w:tcBorders>
            <w:shd w:val="clear" w:color="auto" w:fill="auto"/>
            <w:tcMar>
              <w:top w:w="100" w:type="dxa"/>
              <w:left w:w="100" w:type="dxa"/>
              <w:bottom w:w="100" w:type="dxa"/>
              <w:right w:w="100" w:type="dxa"/>
            </w:tcMar>
          </w:tcPr>
          <w:p w14:paraId="45E7B2E4" w14:textId="2C48B15C" w:rsidR="003D361A" w:rsidRPr="00327BC2" w:rsidRDefault="003D361A" w:rsidP="0041298C">
            <w:pPr>
              <w:widowControl w:val="0"/>
              <w:pBdr>
                <w:top w:val="nil"/>
                <w:left w:val="nil"/>
                <w:bottom w:val="nil"/>
                <w:right w:val="nil"/>
                <w:between w:val="nil"/>
              </w:pBdr>
              <w:spacing w:line="240" w:lineRule="auto"/>
              <w:rPr>
                <w:rFonts w:ascii="Times New Roman" w:hAnsi="Times New Roman" w:cs="Times New Roman"/>
                <w:b/>
                <w:sz w:val="24"/>
                <w:szCs w:val="24"/>
              </w:rPr>
            </w:pPr>
            <w:r w:rsidRPr="00327BC2">
              <w:rPr>
                <w:rFonts w:ascii="Times New Roman" w:hAnsi="Times New Roman" w:cs="Times New Roman"/>
                <w:b/>
                <w:sz w:val="24"/>
                <w:szCs w:val="24"/>
              </w:rPr>
              <w:t>Öğretim elemanı/araştırmacı performansının değerlendirilmesi</w:t>
            </w:r>
          </w:p>
        </w:tc>
      </w:tr>
      <w:tr w:rsidR="003D361A" w:rsidRPr="00327BC2" w14:paraId="04C5B193" w14:textId="77777777" w:rsidTr="00327BC2">
        <w:trPr>
          <w:trHeight w:val="191"/>
        </w:trPr>
        <w:tc>
          <w:tcPr>
            <w:tcW w:w="959" w:type="dxa"/>
            <w:tcBorders>
              <w:top w:val="nil"/>
              <w:left w:val="nil"/>
              <w:bottom w:val="nil"/>
              <w:right w:val="nil"/>
            </w:tcBorders>
            <w:shd w:val="clear" w:color="auto" w:fill="auto"/>
            <w:tcMar>
              <w:top w:w="100" w:type="dxa"/>
              <w:left w:w="100" w:type="dxa"/>
              <w:bottom w:w="100" w:type="dxa"/>
              <w:right w:w="100" w:type="dxa"/>
            </w:tcMar>
          </w:tcPr>
          <w:p w14:paraId="359AA29F" w14:textId="77777777" w:rsidR="003D361A" w:rsidRPr="00327BC2" w:rsidRDefault="003D361A" w:rsidP="0041298C">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nil"/>
              <w:right w:val="nil"/>
            </w:tcBorders>
            <w:shd w:val="clear" w:color="auto" w:fill="auto"/>
            <w:tcMar>
              <w:top w:w="100" w:type="dxa"/>
              <w:left w:w="100" w:type="dxa"/>
              <w:bottom w:w="100" w:type="dxa"/>
              <w:right w:w="100" w:type="dxa"/>
            </w:tcMar>
          </w:tcPr>
          <w:p w14:paraId="085D7BC4" w14:textId="77777777" w:rsidR="003D361A" w:rsidRPr="00327BC2" w:rsidRDefault="003D361A" w:rsidP="0041298C">
            <w:pPr>
              <w:widowControl w:val="0"/>
              <w:pBdr>
                <w:top w:val="nil"/>
                <w:left w:val="nil"/>
                <w:bottom w:val="nil"/>
                <w:right w:val="nil"/>
                <w:between w:val="nil"/>
              </w:pBdr>
              <w:spacing w:line="240" w:lineRule="auto"/>
              <w:rPr>
                <w:rFonts w:ascii="Times New Roman" w:hAnsi="Times New Roman" w:cs="Times New Roman"/>
                <w:i/>
                <w:iCs/>
                <w:sz w:val="24"/>
                <w:szCs w:val="24"/>
              </w:rPr>
            </w:pPr>
            <w:r w:rsidRPr="00327BC2">
              <w:rPr>
                <w:rFonts w:ascii="Times New Roman" w:hAnsi="Times New Roman" w:cs="Times New Roman"/>
                <w:i/>
                <w:iCs/>
                <w:sz w:val="24"/>
                <w:szCs w:val="24"/>
              </w:rPr>
              <w:t>Olgunluk Düzeyi</w:t>
            </w:r>
          </w:p>
        </w:tc>
        <w:tc>
          <w:tcPr>
            <w:tcW w:w="284" w:type="dxa"/>
            <w:tcBorders>
              <w:top w:val="nil"/>
              <w:left w:val="nil"/>
              <w:bottom w:val="nil"/>
              <w:right w:val="nil"/>
            </w:tcBorders>
            <w:shd w:val="clear" w:color="auto" w:fill="auto"/>
          </w:tcPr>
          <w:p w14:paraId="0561C50E" w14:textId="77777777" w:rsidR="003D361A" w:rsidRPr="00327BC2" w:rsidRDefault="003D361A" w:rsidP="0041298C">
            <w:pPr>
              <w:widowControl w:val="0"/>
              <w:pBdr>
                <w:top w:val="nil"/>
                <w:left w:val="nil"/>
                <w:bottom w:val="nil"/>
                <w:right w:val="nil"/>
                <w:between w:val="nil"/>
              </w:pBdr>
              <w:spacing w:line="240" w:lineRule="auto"/>
              <w:rPr>
                <w:rFonts w:ascii="Times New Roman" w:hAnsi="Times New Roman" w:cs="Times New Roman"/>
                <w:i/>
                <w:iCs/>
                <w:sz w:val="24"/>
                <w:szCs w:val="24"/>
              </w:rPr>
            </w:pPr>
            <w:r w:rsidRPr="00327BC2">
              <w:rPr>
                <w:rFonts w:ascii="Times New Roman" w:hAnsi="Times New Roman" w:cs="Times New Roman"/>
                <w:i/>
                <w:iCs/>
                <w:sz w:val="24"/>
                <w:szCs w:val="24"/>
              </w:rPr>
              <w:t>:</w:t>
            </w:r>
          </w:p>
        </w:tc>
        <w:tc>
          <w:tcPr>
            <w:tcW w:w="6525" w:type="dxa"/>
            <w:tcBorders>
              <w:top w:val="nil"/>
              <w:left w:val="nil"/>
              <w:bottom w:val="nil"/>
              <w:right w:val="nil"/>
            </w:tcBorders>
            <w:shd w:val="clear" w:color="auto" w:fill="F0E22C"/>
          </w:tcPr>
          <w:p w14:paraId="12D15C11" w14:textId="77777777" w:rsidR="003D361A" w:rsidRPr="00327BC2" w:rsidRDefault="00627D67" w:rsidP="0041298C">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98558755"/>
                <w:placeholder>
                  <w:docPart w:val="F95E415B7DAB4D6895527F119517D8A8"/>
                </w:placeholder>
                <w:showingPlcHdr/>
                <w:dropDownList>
                  <w:listItem w:value="Bir öğe seçin."/>
                  <w:listItem w:displayText="1: Kurumda öğretim elemanlarının araştırma performansının izlenmesine ve değerlendirmesine yönelik mekanizmalar bulunmamaktadır." w:value="1"/>
                  <w:listItem w:displayText="2: Kurumda öğretim elemanlarının araştırma performansının izlenmesine ve değerlendirmesine yönelik ilke, kural ve göstergeler bulunmaktadır." w:value="2"/>
                  <w:listItem w:displayText="3: Kurumun genelinde öğretim elemanlarının araştırma-geliştirme performansını izlemek ve değerlendirmek üzere oluşturulan mekanizmalar kullanılmaktadır. " w:value="3"/>
                  <w:listItem w:displayText="4: Öğretim elemanlarının araştırma-geliştirme performansı izlenmekte ve öğretim elemanları ile birlikte değerlendirilerek iyileştirilmektedir. " w:value="4"/>
                  <w:listItem w:displayText="5: İçselleştirilmiş, sistematik, sürdürülebilir ve örnek gösterilebilir uygulamalar bulunmaktadır." w:value="5"/>
                </w:dropDownList>
              </w:sdtPr>
              <w:sdtEndPr/>
              <w:sdtContent>
                <w:r w:rsidR="003D361A" w:rsidRPr="00327BC2">
                  <w:rPr>
                    <w:rStyle w:val="YerTutucuMetni"/>
                    <w:rFonts w:ascii="Times New Roman" w:hAnsi="Times New Roman" w:cs="Times New Roman"/>
                    <w:i/>
                    <w:sz w:val="24"/>
                    <w:szCs w:val="24"/>
                  </w:rPr>
                  <w:t>Bir öğe seçin.</w:t>
                </w:r>
              </w:sdtContent>
            </w:sdt>
          </w:p>
        </w:tc>
      </w:tr>
      <w:tr w:rsidR="003D361A" w:rsidRPr="00327BC2" w14:paraId="7BC2C7C1" w14:textId="77777777" w:rsidTr="00327BC2">
        <w:trPr>
          <w:trHeight w:val="6275"/>
        </w:trPr>
        <w:tc>
          <w:tcPr>
            <w:tcW w:w="9773" w:type="dxa"/>
            <w:gridSpan w:val="4"/>
            <w:tcBorders>
              <w:top w:val="nil"/>
              <w:left w:val="nil"/>
              <w:bottom w:val="dotDash" w:sz="4" w:space="0" w:color="auto"/>
              <w:right w:val="nil"/>
            </w:tcBorders>
            <w:shd w:val="clear" w:color="auto" w:fill="auto"/>
            <w:tcMar>
              <w:top w:w="100" w:type="dxa"/>
              <w:left w:w="100" w:type="dxa"/>
              <w:bottom w:w="100" w:type="dxa"/>
              <w:right w:w="100" w:type="dxa"/>
            </w:tcMar>
          </w:tcPr>
          <w:p w14:paraId="2F3A0D20" w14:textId="77777777" w:rsidR="003D361A" w:rsidRPr="00327BC2" w:rsidRDefault="003D361A" w:rsidP="0041298C">
            <w:pPr>
              <w:widowControl w:val="0"/>
              <w:jc w:val="both"/>
              <w:rPr>
                <w:rFonts w:ascii="Times New Roman" w:hAnsi="Times New Roman" w:cs="Times New Roman"/>
                <w:i/>
                <w:iCs/>
                <w:color w:val="B7B7B7"/>
                <w:sz w:val="24"/>
                <w:szCs w:val="24"/>
                <w:u w:val="single"/>
              </w:rPr>
            </w:pPr>
            <w:r w:rsidRPr="00327BC2">
              <w:rPr>
                <w:rFonts w:ascii="Times New Roman" w:hAnsi="Times New Roman" w:cs="Times New Roman"/>
                <w:i/>
                <w:iCs/>
                <w:color w:val="B7B7B7"/>
                <w:sz w:val="24"/>
                <w:szCs w:val="24"/>
                <w:u w:val="single"/>
              </w:rPr>
              <w:t>İYTE Kalite Yönetim Rehberi’nden</w:t>
            </w:r>
          </w:p>
          <w:p w14:paraId="7DFC593F" w14:textId="77777777" w:rsidR="003D361A" w:rsidRPr="00327BC2" w:rsidRDefault="003D361A"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t xml:space="preserve">Enstitüde akademik personelin araştırma-geliştirme performansını izlemek ve değerlendirmek amacıyla belirlenmiş yönetmelikler, yönergeler ve süreçler bulunur. Teşvik sistemleri ile öğretim elemanlarının </w:t>
            </w:r>
            <w:proofErr w:type="gramStart"/>
            <w:r w:rsidRPr="00327BC2">
              <w:rPr>
                <w:rFonts w:ascii="Times New Roman" w:hAnsi="Times New Roman" w:cs="Times New Roman"/>
                <w:color w:val="B7B7B7"/>
                <w:sz w:val="24"/>
                <w:szCs w:val="24"/>
              </w:rPr>
              <w:t>motivasyonu</w:t>
            </w:r>
            <w:proofErr w:type="gramEnd"/>
            <w:r w:rsidRPr="00327BC2">
              <w:rPr>
                <w:rFonts w:ascii="Times New Roman" w:hAnsi="Times New Roman" w:cs="Times New Roman"/>
                <w:color w:val="B7B7B7"/>
                <w:sz w:val="24"/>
                <w:szCs w:val="24"/>
              </w:rPr>
              <w:t xml:space="preserve"> artırılarak kaliteli araştırmalar teşvik edilir. Bu yaklaşım, kaliteli araştırma faaliyetlerini teşvik ederek ulusal/uluslararası rekabet avantajı sağlama hedeflerini destekler.</w:t>
            </w:r>
          </w:p>
          <w:p w14:paraId="2157B86D" w14:textId="77777777" w:rsidR="003D361A" w:rsidRPr="00327BC2" w:rsidRDefault="00C74B99"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t>Öğretim elemanlarının performansı; bilim, teknoloji ve sanata katkı sağlayıcı nitelikte yurt içinde veya yurt dışında sonuçlandırılan proje, araştırma, yayın, tasarım, sergi, patent ile çalışmalarına yapılan atıflar, bilim kurulu bulunan uluslararası düzeydeki toplantılarda sunulan tebliğler ve alınan akademik ödüllerin değerlendirilmesiyle belirlenen akademik teşvik ödeneği kapsamında değerlendirilir ve sonuçlar kamuoyuyla paylaşılır.</w:t>
            </w:r>
          </w:p>
          <w:p w14:paraId="1D146768" w14:textId="77777777" w:rsidR="00C74B99" w:rsidRPr="00327BC2" w:rsidRDefault="00C74B99"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t>Enstitüde öğretim elemanı atamaları, dış mevzuat yanında öğretim üyeleri için “İYTE Minimum Akademik Yükseltme Ve Atama Ölçütleri ile ilgili Esaslar” hükümleri doğrultusunda yapılır ve akademik kadrolara atamalarda ilgili personelin akademik performansı mevzuatta belirtilen ölçütlere göre değerlendirilir.</w:t>
            </w:r>
          </w:p>
          <w:p w14:paraId="5C7B2838" w14:textId="5A977DA2" w:rsidR="00C74B99" w:rsidRPr="00327BC2" w:rsidRDefault="00C74B99" w:rsidP="0041298C">
            <w:pPr>
              <w:widowControl w:val="0"/>
              <w:spacing w:before="240" w:after="240"/>
              <w:jc w:val="both"/>
              <w:rPr>
                <w:rFonts w:ascii="Times New Roman" w:hAnsi="Times New Roman" w:cs="Times New Roman"/>
                <w:color w:val="B7B7B7"/>
                <w:sz w:val="24"/>
                <w:szCs w:val="24"/>
              </w:rPr>
            </w:pPr>
            <w:r w:rsidRPr="00327BC2">
              <w:rPr>
                <w:rFonts w:ascii="Times New Roman" w:hAnsi="Times New Roman" w:cs="Times New Roman"/>
                <w:color w:val="B7B7B7"/>
                <w:sz w:val="24"/>
                <w:szCs w:val="24"/>
              </w:rPr>
              <w:t>Öğretim elemanı araştırma performansının değerlendirildiği diğer bir uygulamada akademik birim faaliyet raporlarının üst yönetime sunulması faaliyetidir. Bu sunumlarda birimin araştırma performansı birimde görev yapan öğretim elemanları bazında değerlendirilmektedir. Enstitüde akademik arşiv sistemi olarak kullanılan GCRIS de Enstitüdeki araştırma çıktılarına yönelik raporlama sunabilen bir araştırma ve performans değerlendirme bilgi sistemidir (GCRIS).</w:t>
            </w:r>
          </w:p>
        </w:tc>
      </w:tr>
      <w:tr w:rsidR="003D361A" w:rsidRPr="00327BC2" w14:paraId="0A4E87B6" w14:textId="77777777" w:rsidTr="00327BC2">
        <w:trPr>
          <w:trHeight w:val="420"/>
        </w:trPr>
        <w:tc>
          <w:tcPr>
            <w:tcW w:w="9773" w:type="dxa"/>
            <w:gridSpan w:val="4"/>
            <w:tcBorders>
              <w:top w:val="dotDash" w:sz="4" w:space="0" w:color="auto"/>
              <w:left w:val="dotDash" w:sz="4" w:space="0" w:color="auto"/>
              <w:bottom w:val="dotDash" w:sz="4" w:space="0" w:color="auto"/>
              <w:right w:val="dotDash" w:sz="4" w:space="0" w:color="auto"/>
            </w:tcBorders>
            <w:shd w:val="clear" w:color="auto" w:fill="auto"/>
            <w:tcMar>
              <w:top w:w="100" w:type="dxa"/>
              <w:left w:w="100" w:type="dxa"/>
              <w:bottom w:w="100" w:type="dxa"/>
              <w:right w:w="100" w:type="dxa"/>
            </w:tcMar>
          </w:tcPr>
          <w:p w14:paraId="7A762807" w14:textId="07423378" w:rsidR="003D361A" w:rsidRPr="00327BC2" w:rsidRDefault="00AE03C3" w:rsidP="0041298C">
            <w:pPr>
              <w:widowControl w:val="0"/>
              <w:pBdr>
                <w:top w:val="nil"/>
                <w:left w:val="nil"/>
                <w:bottom w:val="nil"/>
                <w:right w:val="nil"/>
                <w:between w:val="nil"/>
              </w:pBdr>
              <w:spacing w:line="240" w:lineRule="auto"/>
              <w:rPr>
                <w:rFonts w:ascii="Times New Roman" w:hAnsi="Times New Roman" w:cs="Times New Roman"/>
                <w:sz w:val="24"/>
                <w:szCs w:val="24"/>
                <w:u w:val="single"/>
              </w:rPr>
            </w:pPr>
            <w:proofErr w:type="gramStart"/>
            <w:r w:rsidRPr="00AE03C3">
              <w:rPr>
                <w:rFonts w:ascii="Times New Roman" w:hAnsi="Times New Roman" w:cs="Times New Roman"/>
                <w:sz w:val="24"/>
                <w:szCs w:val="24"/>
                <w:highlight w:val="yellow"/>
                <w:u w:val="single"/>
              </w:rPr>
              <w:t>.....</w:t>
            </w:r>
            <w:proofErr w:type="gramEnd"/>
            <w:r w:rsidRPr="00327BC2">
              <w:rPr>
                <w:rFonts w:ascii="Times New Roman" w:hAnsi="Times New Roman" w:cs="Times New Roman"/>
                <w:sz w:val="24"/>
                <w:szCs w:val="24"/>
                <w:u w:val="single"/>
              </w:rPr>
              <w:t xml:space="preserve"> </w:t>
            </w:r>
            <w:r w:rsidR="003D361A" w:rsidRPr="00327BC2">
              <w:rPr>
                <w:rFonts w:ascii="Times New Roman" w:hAnsi="Times New Roman" w:cs="Times New Roman"/>
                <w:sz w:val="24"/>
                <w:szCs w:val="24"/>
                <w:u w:val="single"/>
              </w:rPr>
              <w:t>Yılı Faaliyetleri, Uygulamaları ve İyileştirmeleri</w:t>
            </w:r>
          </w:p>
          <w:p w14:paraId="21EA8A8F" w14:textId="77777777" w:rsidR="003D361A" w:rsidRPr="00327BC2" w:rsidRDefault="003D361A"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3DD246B9" w14:textId="77777777" w:rsidR="003D361A" w:rsidRPr="00327BC2" w:rsidRDefault="003D361A"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46EFF894" w14:textId="77777777" w:rsidR="003D361A" w:rsidRPr="00327BC2" w:rsidRDefault="003D361A"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7F2029A4" w14:textId="77777777" w:rsidR="003D361A" w:rsidRPr="00327BC2" w:rsidRDefault="003D361A"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0FEA7DA7" w14:textId="77777777" w:rsidR="003D361A" w:rsidRPr="00327BC2" w:rsidRDefault="003D361A"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31E339EC" w14:textId="77777777" w:rsidR="003D361A" w:rsidRPr="00327BC2" w:rsidRDefault="003D361A"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7531ECCC" w14:textId="77777777" w:rsidR="003D361A" w:rsidRPr="00327BC2" w:rsidRDefault="003D361A"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175634B0" w14:textId="77777777" w:rsidR="003D361A" w:rsidRPr="00327BC2" w:rsidRDefault="003D361A"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61301109" w14:textId="77777777" w:rsidR="003D361A" w:rsidRPr="00327BC2" w:rsidRDefault="003D361A"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0C0A82F4" w14:textId="77777777" w:rsidR="003D361A" w:rsidRPr="00327BC2" w:rsidRDefault="003D361A" w:rsidP="0041298C">
            <w:pPr>
              <w:widowControl w:val="0"/>
              <w:pBdr>
                <w:top w:val="nil"/>
                <w:left w:val="nil"/>
                <w:bottom w:val="nil"/>
                <w:right w:val="nil"/>
                <w:between w:val="nil"/>
              </w:pBdr>
              <w:spacing w:line="240" w:lineRule="auto"/>
              <w:rPr>
                <w:rFonts w:ascii="Times New Roman" w:hAnsi="Times New Roman" w:cs="Times New Roman"/>
                <w:sz w:val="24"/>
                <w:szCs w:val="24"/>
              </w:rPr>
            </w:pPr>
          </w:p>
        </w:tc>
      </w:tr>
    </w:tbl>
    <w:p w14:paraId="3E74B41C" w14:textId="5871E994" w:rsidR="00025EC1" w:rsidRPr="00327BC2" w:rsidRDefault="00025EC1" w:rsidP="00327BC2">
      <w:pPr>
        <w:rPr>
          <w:rFonts w:ascii="Times New Roman" w:hAnsi="Times New Roman" w:cs="Times New Roman"/>
          <w:sz w:val="24"/>
          <w:szCs w:val="24"/>
        </w:rPr>
      </w:pPr>
    </w:p>
    <w:sectPr w:rsidR="00025EC1" w:rsidRPr="00327BC2" w:rsidSect="00FF43BE">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ABF82" w14:textId="77777777" w:rsidR="00627D67" w:rsidRDefault="00627D67" w:rsidP="00327BC2">
      <w:pPr>
        <w:spacing w:line="240" w:lineRule="auto"/>
      </w:pPr>
      <w:r>
        <w:separator/>
      </w:r>
    </w:p>
  </w:endnote>
  <w:endnote w:type="continuationSeparator" w:id="0">
    <w:p w14:paraId="51B6B131" w14:textId="77777777" w:rsidR="00627D67" w:rsidRDefault="00627D67" w:rsidP="00327B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8099767"/>
      <w:docPartObj>
        <w:docPartGallery w:val="Page Numbers (Bottom of Page)"/>
        <w:docPartUnique/>
      </w:docPartObj>
    </w:sdtPr>
    <w:sdtEndPr/>
    <w:sdtContent>
      <w:p w14:paraId="319A3941" w14:textId="0445D81A" w:rsidR="000E1028" w:rsidRDefault="000E1028">
        <w:pPr>
          <w:pStyle w:val="AltBilgi"/>
        </w:pPr>
        <w:r>
          <w:rPr>
            <w:noProof/>
            <w:lang w:val="tr-TR"/>
          </w:rPr>
          <mc:AlternateContent>
            <mc:Choice Requires="wpg">
              <w:drawing>
                <wp:anchor distT="0" distB="0" distL="114300" distR="114300" simplePos="0" relativeHeight="251659264" behindDoc="0" locked="0" layoutInCell="1" allowOverlap="1" wp14:anchorId="0B17D792" wp14:editId="08EF1851">
                  <wp:simplePos x="0" y="0"/>
                  <wp:positionH relativeFrom="margin">
                    <wp:align>right</wp:align>
                  </wp:positionH>
                  <wp:positionV relativeFrom="page">
                    <wp:align>bottom</wp:align>
                  </wp:positionV>
                  <wp:extent cx="436880" cy="716915"/>
                  <wp:effectExtent l="7620" t="9525" r="12700" b="6985"/>
                  <wp:wrapNone/>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2"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3"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2CB5C4F2" w14:textId="74109741" w:rsidR="000E1028" w:rsidRDefault="000E1028">
                                <w:pPr>
                                  <w:pStyle w:val="AltBilgi"/>
                                  <w:jc w:val="center"/>
                                  <w:rPr>
                                    <w:sz w:val="16"/>
                                    <w:szCs w:val="16"/>
                                  </w:rPr>
                                </w:pPr>
                                <w:r>
                                  <w:fldChar w:fldCharType="begin"/>
                                </w:r>
                                <w:r>
                                  <w:instrText>PAGE    \* MERGEFORMAT</w:instrText>
                                </w:r>
                                <w:r>
                                  <w:fldChar w:fldCharType="separate"/>
                                </w:r>
                                <w:r w:rsidR="00597F50" w:rsidRPr="00597F50">
                                  <w:rPr>
                                    <w:noProof/>
                                    <w:sz w:val="16"/>
                                    <w:szCs w:val="16"/>
                                    <w:lang w:val="tr-TR"/>
                                  </w:rPr>
                                  <w:t>13</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17D792" id="Grup 1" o:spid="_x0000_s1026" style="position:absolute;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b+UxQAAANoAAAAPAAAAZHJzL2Rvd25yZXYueG1sRI9Ba8JA&#10;FITvBf/D8oTe6sYK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D3Tb+UxQAAANoAAAAP&#10;AAAAAAAAAAAAAAAAAAcCAABkcnMvZG93bnJldi54bWxQSwUGAAAAAAMAAwC3AAAA+QIAAAAA&#10;" filled="f" strokecolor="#7f7f7f">
                    <v:textbox>
                      <w:txbxContent>
                        <w:p w14:paraId="2CB5C4F2" w14:textId="74109741" w:rsidR="000E1028" w:rsidRDefault="000E1028">
                          <w:pPr>
                            <w:pStyle w:val="AltBilgi"/>
                            <w:jc w:val="center"/>
                            <w:rPr>
                              <w:sz w:val="16"/>
                              <w:szCs w:val="16"/>
                            </w:rPr>
                          </w:pPr>
                          <w:r>
                            <w:fldChar w:fldCharType="begin"/>
                          </w:r>
                          <w:r>
                            <w:instrText>PAGE    \* MERGEFORMAT</w:instrText>
                          </w:r>
                          <w:r>
                            <w:fldChar w:fldCharType="separate"/>
                          </w:r>
                          <w:r w:rsidR="00597F50" w:rsidRPr="00597F50">
                            <w:rPr>
                              <w:noProof/>
                              <w:sz w:val="16"/>
                              <w:szCs w:val="16"/>
                              <w:lang w:val="tr-TR"/>
                            </w:rPr>
                            <w:t>13</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A052B" w14:textId="77777777" w:rsidR="00627D67" w:rsidRDefault="00627D67" w:rsidP="00327BC2">
      <w:pPr>
        <w:spacing w:line="240" w:lineRule="auto"/>
      </w:pPr>
      <w:r>
        <w:separator/>
      </w:r>
    </w:p>
  </w:footnote>
  <w:footnote w:type="continuationSeparator" w:id="0">
    <w:p w14:paraId="6A75D1C8" w14:textId="77777777" w:rsidR="00627D67" w:rsidRDefault="00627D67" w:rsidP="00327BC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B49C2"/>
    <w:multiLevelType w:val="hybridMultilevel"/>
    <w:tmpl w:val="01962086"/>
    <w:lvl w:ilvl="0" w:tplc="636A2DA8">
      <w:start w:val="3"/>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6E341FF"/>
    <w:multiLevelType w:val="hybridMultilevel"/>
    <w:tmpl w:val="5AFC0B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7C5540"/>
    <w:multiLevelType w:val="hybridMultilevel"/>
    <w:tmpl w:val="5AFC0B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9CB3F8B"/>
    <w:multiLevelType w:val="hybridMultilevel"/>
    <w:tmpl w:val="5AFC0B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38B0EAD"/>
    <w:multiLevelType w:val="hybridMultilevel"/>
    <w:tmpl w:val="0FAA3A50"/>
    <w:lvl w:ilvl="0" w:tplc="636A2DA8">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7D446637"/>
    <w:multiLevelType w:val="hybridMultilevel"/>
    <w:tmpl w:val="5476B886"/>
    <w:lvl w:ilvl="0" w:tplc="92ECD55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7AD"/>
    <w:rsid w:val="00025EC1"/>
    <w:rsid w:val="000B74CC"/>
    <w:rsid w:val="000C5858"/>
    <w:rsid w:val="000E1028"/>
    <w:rsid w:val="00110E95"/>
    <w:rsid w:val="001A36EC"/>
    <w:rsid w:val="001D6F0D"/>
    <w:rsid w:val="00216FAB"/>
    <w:rsid w:val="00223D91"/>
    <w:rsid w:val="00327BC2"/>
    <w:rsid w:val="003627AD"/>
    <w:rsid w:val="00377206"/>
    <w:rsid w:val="003D361A"/>
    <w:rsid w:val="00552CB6"/>
    <w:rsid w:val="00597F50"/>
    <w:rsid w:val="005E17A8"/>
    <w:rsid w:val="00627D67"/>
    <w:rsid w:val="00680A42"/>
    <w:rsid w:val="00784911"/>
    <w:rsid w:val="008E4FA9"/>
    <w:rsid w:val="008F4C3F"/>
    <w:rsid w:val="009D4334"/>
    <w:rsid w:val="00AE03C3"/>
    <w:rsid w:val="00B50220"/>
    <w:rsid w:val="00C34498"/>
    <w:rsid w:val="00C74B99"/>
    <w:rsid w:val="00D35617"/>
    <w:rsid w:val="00D84FE3"/>
    <w:rsid w:val="00D8795A"/>
    <w:rsid w:val="00DC292D"/>
    <w:rsid w:val="00EC0FD0"/>
    <w:rsid w:val="00ED6131"/>
    <w:rsid w:val="00FF43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B5D9B1"/>
  <w15:chartTrackingRefBased/>
  <w15:docId w15:val="{3698FC69-E52D-4AA0-8715-21EDDAC8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4FA9"/>
    <w:pPr>
      <w:spacing w:after="0" w:line="276" w:lineRule="auto"/>
    </w:pPr>
    <w:rPr>
      <w:rFonts w:ascii="Arial" w:eastAsia="Arial" w:hAnsi="Arial" w:cs="Arial"/>
      <w:lang w:val="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E4FA9"/>
    <w:rPr>
      <w:color w:val="808080"/>
    </w:rPr>
  </w:style>
  <w:style w:type="paragraph" w:styleId="ListeParagraf">
    <w:name w:val="List Paragraph"/>
    <w:basedOn w:val="Normal"/>
    <w:uiPriority w:val="34"/>
    <w:qFormat/>
    <w:rsid w:val="00025EC1"/>
    <w:pPr>
      <w:ind w:left="720"/>
      <w:contextualSpacing/>
    </w:pPr>
  </w:style>
  <w:style w:type="paragraph" w:styleId="stBilgi">
    <w:name w:val="header"/>
    <w:basedOn w:val="Normal"/>
    <w:link w:val="stBilgiChar"/>
    <w:uiPriority w:val="99"/>
    <w:unhideWhenUsed/>
    <w:rsid w:val="00327BC2"/>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327BC2"/>
    <w:rPr>
      <w:rFonts w:ascii="Arial" w:eastAsia="Arial" w:hAnsi="Arial" w:cs="Arial"/>
      <w:lang w:val="tr" w:eastAsia="tr-TR"/>
    </w:rPr>
  </w:style>
  <w:style w:type="paragraph" w:styleId="AltBilgi">
    <w:name w:val="footer"/>
    <w:basedOn w:val="Normal"/>
    <w:link w:val="AltBilgiChar"/>
    <w:uiPriority w:val="99"/>
    <w:unhideWhenUsed/>
    <w:rsid w:val="00327BC2"/>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327BC2"/>
    <w:rPr>
      <w:rFonts w:ascii="Arial" w:eastAsia="Arial" w:hAnsi="Arial" w:cs="Arial"/>
      <w:lang w:val="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52925D89BF466F99B19A01FCA22C78"/>
        <w:category>
          <w:name w:val="Genel"/>
          <w:gallery w:val="placeholder"/>
        </w:category>
        <w:types>
          <w:type w:val="bbPlcHdr"/>
        </w:types>
        <w:behaviors>
          <w:behavior w:val="content"/>
        </w:behaviors>
        <w:guid w:val="{5848E1B2-B6AA-4A5B-9F0A-BB6A29A7E21B}"/>
      </w:docPartPr>
      <w:docPartBody>
        <w:p w:rsidR="00B33CDE" w:rsidRDefault="00853376" w:rsidP="00853376">
          <w:pPr>
            <w:pStyle w:val="9A52925D89BF466F99B19A01FCA22C78"/>
          </w:pPr>
          <w:r w:rsidRPr="003F7697">
            <w:rPr>
              <w:rStyle w:val="YerTutucuMetni"/>
            </w:rPr>
            <w:t>Bir öğe seçin.</w:t>
          </w:r>
        </w:p>
      </w:docPartBody>
    </w:docPart>
    <w:docPart>
      <w:docPartPr>
        <w:name w:val="9060280ACA27428DAE0906D076629A5D"/>
        <w:category>
          <w:name w:val="Genel"/>
          <w:gallery w:val="placeholder"/>
        </w:category>
        <w:types>
          <w:type w:val="bbPlcHdr"/>
        </w:types>
        <w:behaviors>
          <w:behavior w:val="content"/>
        </w:behaviors>
        <w:guid w:val="{9CB75A83-F823-493B-9C1B-FFAF66286042}"/>
      </w:docPartPr>
      <w:docPartBody>
        <w:p w:rsidR="00B33CDE" w:rsidRDefault="00853376" w:rsidP="00853376">
          <w:pPr>
            <w:pStyle w:val="9060280ACA27428DAE0906D076629A5D"/>
          </w:pPr>
          <w:r w:rsidRPr="003F7697">
            <w:rPr>
              <w:rStyle w:val="YerTutucuMetni"/>
            </w:rPr>
            <w:t>Bir öğe seçin.</w:t>
          </w:r>
        </w:p>
      </w:docPartBody>
    </w:docPart>
    <w:docPart>
      <w:docPartPr>
        <w:name w:val="40854ECD84D247168AAEF8D72114F0B8"/>
        <w:category>
          <w:name w:val="Genel"/>
          <w:gallery w:val="placeholder"/>
        </w:category>
        <w:types>
          <w:type w:val="bbPlcHdr"/>
        </w:types>
        <w:behaviors>
          <w:behavior w:val="content"/>
        </w:behaviors>
        <w:guid w:val="{C0ACB38D-0078-406F-B8F8-C5C832BF8AD6}"/>
      </w:docPartPr>
      <w:docPartBody>
        <w:p w:rsidR="00B33CDE" w:rsidRDefault="00853376" w:rsidP="00853376">
          <w:pPr>
            <w:pStyle w:val="40854ECD84D247168AAEF8D72114F0B8"/>
          </w:pPr>
          <w:r w:rsidRPr="003F7697">
            <w:rPr>
              <w:rStyle w:val="YerTutucuMetni"/>
            </w:rPr>
            <w:t>Bir öğe seçin.</w:t>
          </w:r>
        </w:p>
      </w:docPartBody>
    </w:docPart>
    <w:docPart>
      <w:docPartPr>
        <w:name w:val="438F645EDE88445DAEF7759F162DA72F"/>
        <w:category>
          <w:name w:val="Genel"/>
          <w:gallery w:val="placeholder"/>
        </w:category>
        <w:types>
          <w:type w:val="bbPlcHdr"/>
        </w:types>
        <w:behaviors>
          <w:behavior w:val="content"/>
        </w:behaviors>
        <w:guid w:val="{E37CBA89-F234-452D-B855-2CCE97FD29AD}"/>
      </w:docPartPr>
      <w:docPartBody>
        <w:p w:rsidR="00B33CDE" w:rsidRDefault="00853376" w:rsidP="00853376">
          <w:pPr>
            <w:pStyle w:val="438F645EDE88445DAEF7759F162DA72F"/>
          </w:pPr>
          <w:r w:rsidRPr="003F7697">
            <w:rPr>
              <w:rStyle w:val="YerTutucuMetni"/>
            </w:rPr>
            <w:t>Bir öğe seçin.</w:t>
          </w:r>
        </w:p>
      </w:docPartBody>
    </w:docPart>
    <w:docPart>
      <w:docPartPr>
        <w:name w:val="7DAEC638BA374CD3A3B7375DB2AF258F"/>
        <w:category>
          <w:name w:val="Genel"/>
          <w:gallery w:val="placeholder"/>
        </w:category>
        <w:types>
          <w:type w:val="bbPlcHdr"/>
        </w:types>
        <w:behaviors>
          <w:behavior w:val="content"/>
        </w:behaviors>
        <w:guid w:val="{8F76A6A6-62DD-4284-91B7-42112150599C}"/>
      </w:docPartPr>
      <w:docPartBody>
        <w:p w:rsidR="00B33CDE" w:rsidRDefault="00853376" w:rsidP="00853376">
          <w:pPr>
            <w:pStyle w:val="7DAEC638BA374CD3A3B7375DB2AF258F"/>
          </w:pPr>
          <w:r w:rsidRPr="003F7697">
            <w:rPr>
              <w:rStyle w:val="YerTutucuMetni"/>
            </w:rPr>
            <w:t>Bir öğe seçin.</w:t>
          </w:r>
        </w:p>
      </w:docPartBody>
    </w:docPart>
    <w:docPart>
      <w:docPartPr>
        <w:name w:val="4A0D523B70FE4111BCC6124DD0DBE404"/>
        <w:category>
          <w:name w:val="Genel"/>
          <w:gallery w:val="placeholder"/>
        </w:category>
        <w:types>
          <w:type w:val="bbPlcHdr"/>
        </w:types>
        <w:behaviors>
          <w:behavior w:val="content"/>
        </w:behaviors>
        <w:guid w:val="{53252396-E5BD-4BC4-B299-D7323145C84C}"/>
      </w:docPartPr>
      <w:docPartBody>
        <w:p w:rsidR="00B33CDE" w:rsidRDefault="00853376" w:rsidP="00853376">
          <w:pPr>
            <w:pStyle w:val="4A0D523B70FE4111BCC6124DD0DBE404"/>
          </w:pPr>
          <w:r w:rsidRPr="003F7697">
            <w:rPr>
              <w:rStyle w:val="YerTutucuMetni"/>
            </w:rPr>
            <w:t>Bir öğe seçin.</w:t>
          </w:r>
        </w:p>
      </w:docPartBody>
    </w:docPart>
    <w:docPart>
      <w:docPartPr>
        <w:name w:val="F95E415B7DAB4D6895527F119517D8A8"/>
        <w:category>
          <w:name w:val="Genel"/>
          <w:gallery w:val="placeholder"/>
        </w:category>
        <w:types>
          <w:type w:val="bbPlcHdr"/>
        </w:types>
        <w:behaviors>
          <w:behavior w:val="content"/>
        </w:behaviors>
        <w:guid w:val="{A99A3BC5-7E06-4B9B-9903-904E698835A3}"/>
      </w:docPartPr>
      <w:docPartBody>
        <w:p w:rsidR="00B33CDE" w:rsidRDefault="00853376" w:rsidP="00853376">
          <w:pPr>
            <w:pStyle w:val="F95E415B7DAB4D6895527F119517D8A8"/>
          </w:pPr>
          <w:r w:rsidRPr="003F7697">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DBE"/>
    <w:rsid w:val="00230B82"/>
    <w:rsid w:val="00457EB5"/>
    <w:rsid w:val="0065544A"/>
    <w:rsid w:val="00853376"/>
    <w:rsid w:val="00912998"/>
    <w:rsid w:val="009D4334"/>
    <w:rsid w:val="00A82395"/>
    <w:rsid w:val="00B33CDE"/>
    <w:rsid w:val="00BA1DBE"/>
    <w:rsid w:val="00CD28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53376"/>
    <w:rPr>
      <w:color w:val="808080"/>
    </w:rPr>
  </w:style>
  <w:style w:type="paragraph" w:customStyle="1" w:styleId="0F109A7E302B44AE92783A22281BD151">
    <w:name w:val="0F109A7E302B44AE92783A22281BD151"/>
    <w:rsid w:val="00BA1DBE"/>
  </w:style>
  <w:style w:type="paragraph" w:customStyle="1" w:styleId="E7D9DA91CCE04BBEAE3309AF8221CE73">
    <w:name w:val="E7D9DA91CCE04BBEAE3309AF8221CE73"/>
    <w:rsid w:val="00853376"/>
    <w:pPr>
      <w:spacing w:line="278" w:lineRule="auto"/>
    </w:pPr>
    <w:rPr>
      <w:kern w:val="2"/>
      <w:sz w:val="24"/>
      <w:szCs w:val="24"/>
      <w14:ligatures w14:val="standardContextual"/>
    </w:rPr>
  </w:style>
  <w:style w:type="paragraph" w:customStyle="1" w:styleId="D7180E18C146485C8A8B88580BC5B850">
    <w:name w:val="D7180E18C146485C8A8B88580BC5B850"/>
    <w:rsid w:val="00853376"/>
    <w:pPr>
      <w:spacing w:line="278" w:lineRule="auto"/>
    </w:pPr>
    <w:rPr>
      <w:kern w:val="2"/>
      <w:sz w:val="24"/>
      <w:szCs w:val="24"/>
      <w14:ligatures w14:val="standardContextual"/>
    </w:rPr>
  </w:style>
  <w:style w:type="paragraph" w:customStyle="1" w:styleId="2869BC50108A4318A46FC3272BADDEC5">
    <w:name w:val="2869BC50108A4318A46FC3272BADDEC5"/>
    <w:rsid w:val="00853376"/>
    <w:pPr>
      <w:spacing w:line="278" w:lineRule="auto"/>
    </w:pPr>
    <w:rPr>
      <w:kern w:val="2"/>
      <w:sz w:val="24"/>
      <w:szCs w:val="24"/>
      <w14:ligatures w14:val="standardContextual"/>
    </w:rPr>
  </w:style>
  <w:style w:type="paragraph" w:customStyle="1" w:styleId="F6EC207363B74165A516D4B7BA8C6AF8">
    <w:name w:val="F6EC207363B74165A516D4B7BA8C6AF8"/>
    <w:rsid w:val="00853376"/>
    <w:pPr>
      <w:spacing w:line="278" w:lineRule="auto"/>
    </w:pPr>
    <w:rPr>
      <w:kern w:val="2"/>
      <w:sz w:val="24"/>
      <w:szCs w:val="24"/>
      <w14:ligatures w14:val="standardContextual"/>
    </w:rPr>
  </w:style>
  <w:style w:type="paragraph" w:customStyle="1" w:styleId="0C559120B9124D78B9542A5F3F80CA44">
    <w:name w:val="0C559120B9124D78B9542A5F3F80CA44"/>
    <w:rsid w:val="00853376"/>
    <w:pPr>
      <w:spacing w:line="278" w:lineRule="auto"/>
    </w:pPr>
    <w:rPr>
      <w:kern w:val="2"/>
      <w:sz w:val="24"/>
      <w:szCs w:val="24"/>
      <w14:ligatures w14:val="standardContextual"/>
    </w:rPr>
  </w:style>
  <w:style w:type="paragraph" w:customStyle="1" w:styleId="DF2A388BC3984138AC924073B4312994">
    <w:name w:val="DF2A388BC3984138AC924073B4312994"/>
    <w:rsid w:val="00853376"/>
    <w:pPr>
      <w:spacing w:line="278" w:lineRule="auto"/>
    </w:pPr>
    <w:rPr>
      <w:kern w:val="2"/>
      <w:sz w:val="24"/>
      <w:szCs w:val="24"/>
      <w14:ligatures w14:val="standardContextual"/>
    </w:rPr>
  </w:style>
  <w:style w:type="paragraph" w:customStyle="1" w:styleId="4FD6114F2123425B95F0ABD4324AB320">
    <w:name w:val="4FD6114F2123425B95F0ABD4324AB320"/>
    <w:rsid w:val="00853376"/>
    <w:pPr>
      <w:spacing w:line="278" w:lineRule="auto"/>
    </w:pPr>
    <w:rPr>
      <w:kern w:val="2"/>
      <w:sz w:val="24"/>
      <w:szCs w:val="24"/>
      <w14:ligatures w14:val="standardContextual"/>
    </w:rPr>
  </w:style>
  <w:style w:type="paragraph" w:customStyle="1" w:styleId="C8F76D4C33D441FB8E0131F77ACDA47A">
    <w:name w:val="C8F76D4C33D441FB8E0131F77ACDA47A"/>
    <w:rsid w:val="00853376"/>
    <w:pPr>
      <w:spacing w:line="278" w:lineRule="auto"/>
    </w:pPr>
    <w:rPr>
      <w:kern w:val="2"/>
      <w:sz w:val="24"/>
      <w:szCs w:val="24"/>
      <w14:ligatures w14:val="standardContextual"/>
    </w:rPr>
  </w:style>
  <w:style w:type="paragraph" w:customStyle="1" w:styleId="44F9F086072145E0AA1B1355D543D295">
    <w:name w:val="44F9F086072145E0AA1B1355D543D295"/>
    <w:rsid w:val="00853376"/>
    <w:pPr>
      <w:spacing w:line="278" w:lineRule="auto"/>
    </w:pPr>
    <w:rPr>
      <w:kern w:val="2"/>
      <w:sz w:val="24"/>
      <w:szCs w:val="24"/>
      <w14:ligatures w14:val="standardContextual"/>
    </w:rPr>
  </w:style>
  <w:style w:type="paragraph" w:customStyle="1" w:styleId="B900124E5072452B8D864208AD5F74A7">
    <w:name w:val="B900124E5072452B8D864208AD5F74A7"/>
    <w:rsid w:val="00853376"/>
    <w:pPr>
      <w:spacing w:line="278" w:lineRule="auto"/>
    </w:pPr>
    <w:rPr>
      <w:kern w:val="2"/>
      <w:sz w:val="24"/>
      <w:szCs w:val="24"/>
      <w14:ligatures w14:val="standardContextual"/>
    </w:rPr>
  </w:style>
  <w:style w:type="paragraph" w:customStyle="1" w:styleId="845C5F06C4014815A3E4692D85993F50">
    <w:name w:val="845C5F06C4014815A3E4692D85993F50"/>
    <w:rsid w:val="00853376"/>
    <w:pPr>
      <w:spacing w:line="278" w:lineRule="auto"/>
    </w:pPr>
    <w:rPr>
      <w:kern w:val="2"/>
      <w:sz w:val="24"/>
      <w:szCs w:val="24"/>
      <w14:ligatures w14:val="standardContextual"/>
    </w:rPr>
  </w:style>
  <w:style w:type="paragraph" w:customStyle="1" w:styleId="544FE9AD50954374A4F9BB38F1769792">
    <w:name w:val="544FE9AD50954374A4F9BB38F1769792"/>
    <w:rsid w:val="00853376"/>
    <w:pPr>
      <w:spacing w:line="278" w:lineRule="auto"/>
    </w:pPr>
    <w:rPr>
      <w:kern w:val="2"/>
      <w:sz w:val="24"/>
      <w:szCs w:val="24"/>
      <w14:ligatures w14:val="standardContextual"/>
    </w:rPr>
  </w:style>
  <w:style w:type="paragraph" w:customStyle="1" w:styleId="087D198934154BC7A4C4AC0EBDC9B9B8">
    <w:name w:val="087D198934154BC7A4C4AC0EBDC9B9B8"/>
    <w:rsid w:val="00853376"/>
    <w:pPr>
      <w:spacing w:line="278" w:lineRule="auto"/>
    </w:pPr>
    <w:rPr>
      <w:kern w:val="2"/>
      <w:sz w:val="24"/>
      <w:szCs w:val="24"/>
      <w14:ligatures w14:val="standardContextual"/>
    </w:rPr>
  </w:style>
  <w:style w:type="paragraph" w:customStyle="1" w:styleId="A637B1C829474D69BA69DCBD23342D8D">
    <w:name w:val="A637B1C829474D69BA69DCBD23342D8D"/>
    <w:rsid w:val="00853376"/>
    <w:pPr>
      <w:spacing w:line="278" w:lineRule="auto"/>
    </w:pPr>
    <w:rPr>
      <w:kern w:val="2"/>
      <w:sz w:val="24"/>
      <w:szCs w:val="24"/>
      <w14:ligatures w14:val="standardContextual"/>
    </w:rPr>
  </w:style>
  <w:style w:type="paragraph" w:customStyle="1" w:styleId="C7094F9A38E64351866EC07BB339817B">
    <w:name w:val="C7094F9A38E64351866EC07BB339817B"/>
    <w:rsid w:val="00853376"/>
    <w:pPr>
      <w:spacing w:line="278" w:lineRule="auto"/>
    </w:pPr>
    <w:rPr>
      <w:kern w:val="2"/>
      <w:sz w:val="24"/>
      <w:szCs w:val="24"/>
      <w14:ligatures w14:val="standardContextual"/>
    </w:rPr>
  </w:style>
  <w:style w:type="paragraph" w:customStyle="1" w:styleId="6F52344AD8144C9E9B58F976018D12D8">
    <w:name w:val="6F52344AD8144C9E9B58F976018D12D8"/>
    <w:rsid w:val="00853376"/>
    <w:pPr>
      <w:spacing w:line="278" w:lineRule="auto"/>
    </w:pPr>
    <w:rPr>
      <w:kern w:val="2"/>
      <w:sz w:val="24"/>
      <w:szCs w:val="24"/>
      <w14:ligatures w14:val="standardContextual"/>
    </w:rPr>
  </w:style>
  <w:style w:type="paragraph" w:customStyle="1" w:styleId="C812B318B15748B4885384D37F5339A3">
    <w:name w:val="C812B318B15748B4885384D37F5339A3"/>
    <w:rsid w:val="00853376"/>
    <w:pPr>
      <w:spacing w:line="278" w:lineRule="auto"/>
    </w:pPr>
    <w:rPr>
      <w:kern w:val="2"/>
      <w:sz w:val="24"/>
      <w:szCs w:val="24"/>
      <w14:ligatures w14:val="standardContextual"/>
    </w:rPr>
  </w:style>
  <w:style w:type="paragraph" w:customStyle="1" w:styleId="D4EBC97B17B441D784301CEDCABA1848">
    <w:name w:val="D4EBC97B17B441D784301CEDCABA1848"/>
    <w:rsid w:val="00853376"/>
    <w:pPr>
      <w:spacing w:line="278" w:lineRule="auto"/>
    </w:pPr>
    <w:rPr>
      <w:kern w:val="2"/>
      <w:sz w:val="24"/>
      <w:szCs w:val="24"/>
      <w14:ligatures w14:val="standardContextual"/>
    </w:rPr>
  </w:style>
  <w:style w:type="paragraph" w:customStyle="1" w:styleId="28ABE4D1BA2A408A9C6FCE4189343C11">
    <w:name w:val="28ABE4D1BA2A408A9C6FCE4189343C11"/>
    <w:rsid w:val="00853376"/>
    <w:pPr>
      <w:spacing w:line="278" w:lineRule="auto"/>
    </w:pPr>
    <w:rPr>
      <w:kern w:val="2"/>
      <w:sz w:val="24"/>
      <w:szCs w:val="24"/>
      <w14:ligatures w14:val="standardContextual"/>
    </w:rPr>
  </w:style>
  <w:style w:type="paragraph" w:customStyle="1" w:styleId="284683DCDFC14D56BA5A662CA3E80B62">
    <w:name w:val="284683DCDFC14D56BA5A662CA3E80B62"/>
    <w:rsid w:val="00853376"/>
    <w:pPr>
      <w:spacing w:line="278" w:lineRule="auto"/>
    </w:pPr>
    <w:rPr>
      <w:kern w:val="2"/>
      <w:sz w:val="24"/>
      <w:szCs w:val="24"/>
      <w14:ligatures w14:val="standardContextual"/>
    </w:rPr>
  </w:style>
  <w:style w:type="paragraph" w:customStyle="1" w:styleId="6997B039284B4D76837812CF0BCAA723">
    <w:name w:val="6997B039284B4D76837812CF0BCAA723"/>
    <w:rsid w:val="00853376"/>
    <w:pPr>
      <w:spacing w:line="278" w:lineRule="auto"/>
    </w:pPr>
    <w:rPr>
      <w:kern w:val="2"/>
      <w:sz w:val="24"/>
      <w:szCs w:val="24"/>
      <w14:ligatures w14:val="standardContextual"/>
    </w:rPr>
  </w:style>
  <w:style w:type="paragraph" w:customStyle="1" w:styleId="6208DE00BEB54D4FB4E52E97D25876FE">
    <w:name w:val="6208DE00BEB54D4FB4E52E97D25876FE"/>
    <w:rsid w:val="00853376"/>
    <w:pPr>
      <w:spacing w:line="278" w:lineRule="auto"/>
    </w:pPr>
    <w:rPr>
      <w:kern w:val="2"/>
      <w:sz w:val="24"/>
      <w:szCs w:val="24"/>
      <w14:ligatures w14:val="standardContextual"/>
    </w:rPr>
  </w:style>
  <w:style w:type="paragraph" w:customStyle="1" w:styleId="9FCB19777C38482380F005EA5E6159F1">
    <w:name w:val="9FCB19777C38482380F005EA5E6159F1"/>
    <w:rsid w:val="00853376"/>
    <w:pPr>
      <w:spacing w:line="278" w:lineRule="auto"/>
    </w:pPr>
    <w:rPr>
      <w:kern w:val="2"/>
      <w:sz w:val="24"/>
      <w:szCs w:val="24"/>
      <w14:ligatures w14:val="standardContextual"/>
    </w:rPr>
  </w:style>
  <w:style w:type="paragraph" w:customStyle="1" w:styleId="BB86E05495C54D598F4ABE8CF6EEE584">
    <w:name w:val="BB86E05495C54D598F4ABE8CF6EEE584"/>
    <w:rsid w:val="00853376"/>
    <w:pPr>
      <w:spacing w:line="278" w:lineRule="auto"/>
    </w:pPr>
    <w:rPr>
      <w:kern w:val="2"/>
      <w:sz w:val="24"/>
      <w:szCs w:val="24"/>
      <w14:ligatures w14:val="standardContextual"/>
    </w:rPr>
  </w:style>
  <w:style w:type="paragraph" w:customStyle="1" w:styleId="F7B49A2612924C0681779C196C444204">
    <w:name w:val="F7B49A2612924C0681779C196C444204"/>
    <w:rsid w:val="00853376"/>
    <w:pPr>
      <w:spacing w:line="278" w:lineRule="auto"/>
    </w:pPr>
    <w:rPr>
      <w:kern w:val="2"/>
      <w:sz w:val="24"/>
      <w:szCs w:val="24"/>
      <w14:ligatures w14:val="standardContextual"/>
    </w:rPr>
  </w:style>
  <w:style w:type="paragraph" w:customStyle="1" w:styleId="1F30156076EA4E8BA86AB150C71351A9">
    <w:name w:val="1F30156076EA4E8BA86AB150C71351A9"/>
    <w:rsid w:val="00853376"/>
    <w:pPr>
      <w:spacing w:line="278" w:lineRule="auto"/>
    </w:pPr>
    <w:rPr>
      <w:kern w:val="2"/>
      <w:sz w:val="24"/>
      <w:szCs w:val="24"/>
      <w14:ligatures w14:val="standardContextual"/>
    </w:rPr>
  </w:style>
  <w:style w:type="paragraph" w:customStyle="1" w:styleId="D34D6ACAD41644D3B67C8DB6A63EFE7D">
    <w:name w:val="D34D6ACAD41644D3B67C8DB6A63EFE7D"/>
    <w:rsid w:val="00853376"/>
    <w:pPr>
      <w:spacing w:line="278" w:lineRule="auto"/>
    </w:pPr>
    <w:rPr>
      <w:kern w:val="2"/>
      <w:sz w:val="24"/>
      <w:szCs w:val="24"/>
      <w14:ligatures w14:val="standardContextual"/>
    </w:rPr>
  </w:style>
  <w:style w:type="paragraph" w:customStyle="1" w:styleId="9A52925D89BF466F99B19A01FCA22C78">
    <w:name w:val="9A52925D89BF466F99B19A01FCA22C78"/>
    <w:rsid w:val="00853376"/>
    <w:pPr>
      <w:spacing w:line="278" w:lineRule="auto"/>
    </w:pPr>
    <w:rPr>
      <w:kern w:val="2"/>
      <w:sz w:val="24"/>
      <w:szCs w:val="24"/>
      <w14:ligatures w14:val="standardContextual"/>
    </w:rPr>
  </w:style>
  <w:style w:type="paragraph" w:customStyle="1" w:styleId="9060280ACA27428DAE0906D076629A5D">
    <w:name w:val="9060280ACA27428DAE0906D076629A5D"/>
    <w:rsid w:val="00853376"/>
    <w:pPr>
      <w:spacing w:line="278" w:lineRule="auto"/>
    </w:pPr>
    <w:rPr>
      <w:kern w:val="2"/>
      <w:sz w:val="24"/>
      <w:szCs w:val="24"/>
      <w14:ligatures w14:val="standardContextual"/>
    </w:rPr>
  </w:style>
  <w:style w:type="paragraph" w:customStyle="1" w:styleId="40854ECD84D247168AAEF8D72114F0B8">
    <w:name w:val="40854ECD84D247168AAEF8D72114F0B8"/>
    <w:rsid w:val="00853376"/>
    <w:pPr>
      <w:spacing w:line="278" w:lineRule="auto"/>
    </w:pPr>
    <w:rPr>
      <w:kern w:val="2"/>
      <w:sz w:val="24"/>
      <w:szCs w:val="24"/>
      <w14:ligatures w14:val="standardContextual"/>
    </w:rPr>
  </w:style>
  <w:style w:type="paragraph" w:customStyle="1" w:styleId="438F645EDE88445DAEF7759F162DA72F">
    <w:name w:val="438F645EDE88445DAEF7759F162DA72F"/>
    <w:rsid w:val="00853376"/>
    <w:pPr>
      <w:spacing w:line="278" w:lineRule="auto"/>
    </w:pPr>
    <w:rPr>
      <w:kern w:val="2"/>
      <w:sz w:val="24"/>
      <w:szCs w:val="24"/>
      <w14:ligatures w14:val="standardContextual"/>
    </w:rPr>
  </w:style>
  <w:style w:type="paragraph" w:customStyle="1" w:styleId="7DAEC638BA374CD3A3B7375DB2AF258F">
    <w:name w:val="7DAEC638BA374CD3A3B7375DB2AF258F"/>
    <w:rsid w:val="00853376"/>
    <w:pPr>
      <w:spacing w:line="278" w:lineRule="auto"/>
    </w:pPr>
    <w:rPr>
      <w:kern w:val="2"/>
      <w:sz w:val="24"/>
      <w:szCs w:val="24"/>
      <w14:ligatures w14:val="standardContextual"/>
    </w:rPr>
  </w:style>
  <w:style w:type="paragraph" w:customStyle="1" w:styleId="4A0D523B70FE4111BCC6124DD0DBE404">
    <w:name w:val="4A0D523B70FE4111BCC6124DD0DBE404"/>
    <w:rsid w:val="00853376"/>
    <w:pPr>
      <w:spacing w:line="278" w:lineRule="auto"/>
    </w:pPr>
    <w:rPr>
      <w:kern w:val="2"/>
      <w:sz w:val="24"/>
      <w:szCs w:val="24"/>
      <w14:ligatures w14:val="standardContextual"/>
    </w:rPr>
  </w:style>
  <w:style w:type="paragraph" w:customStyle="1" w:styleId="F95E415B7DAB4D6895527F119517D8A8">
    <w:name w:val="F95E415B7DAB4D6895527F119517D8A8"/>
    <w:rsid w:val="0085337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167DF-47D4-4BF3-A4B7-243C7E607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13</Pages>
  <Words>4280</Words>
  <Characters>24398</Characters>
  <Application>Microsoft Office Word</Application>
  <DocSecurity>0</DocSecurity>
  <Lines>203</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esra-ulusal</dc:creator>
  <cp:keywords/>
  <dc:description/>
  <cp:lastModifiedBy>esra-ulusal</cp:lastModifiedBy>
  <cp:revision>7</cp:revision>
  <dcterms:created xsi:type="dcterms:W3CDTF">2025-12-17T09:05:00Z</dcterms:created>
  <dcterms:modified xsi:type="dcterms:W3CDTF">2025-12-17T12:13:00Z</dcterms:modified>
</cp:coreProperties>
</file>